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E5" w:rsidRDefault="00EA1643" w:rsidP="004B3938">
      <w:pPr>
        <w:spacing w:after="0" w:line="240" w:lineRule="auto"/>
        <w:jc w:val="center"/>
        <w:rPr>
          <w:rFonts w:ascii="Arial" w:hAnsi="Arial" w:cs="Arial"/>
          <w:b/>
          <w:sz w:val="24"/>
          <w:szCs w:val="24"/>
        </w:rPr>
      </w:pPr>
      <w:r>
        <w:rPr>
          <w:rFonts w:ascii="Arial" w:hAnsi="Arial" w:cs="Arial"/>
          <w:b/>
          <w:sz w:val="24"/>
          <w:szCs w:val="24"/>
        </w:rPr>
        <w:t>Further Education Colleges</w:t>
      </w:r>
      <w:bookmarkStart w:id="0" w:name="_GoBack"/>
      <w:bookmarkEnd w:id="0"/>
    </w:p>
    <w:p w:rsidR="004B3938" w:rsidRPr="004B3938" w:rsidRDefault="004B3938" w:rsidP="004B3938">
      <w:pPr>
        <w:spacing w:after="0" w:line="240" w:lineRule="auto"/>
        <w:jc w:val="center"/>
        <w:rPr>
          <w:rFonts w:ascii="Arial" w:hAnsi="Arial" w:cs="Arial"/>
          <w:b/>
          <w:sz w:val="24"/>
          <w:szCs w:val="24"/>
        </w:rPr>
      </w:pPr>
    </w:p>
    <w:p w:rsidR="008336E5" w:rsidRDefault="008336E5" w:rsidP="004B3938">
      <w:pPr>
        <w:pStyle w:val="ListParagraph"/>
        <w:numPr>
          <w:ilvl w:val="0"/>
          <w:numId w:val="1"/>
        </w:numPr>
        <w:spacing w:after="0" w:line="240" w:lineRule="auto"/>
        <w:ind w:left="567" w:hanging="567"/>
        <w:jc w:val="both"/>
        <w:rPr>
          <w:rFonts w:ascii="Arial" w:hAnsi="Arial" w:cs="Arial"/>
          <w:b/>
          <w:sz w:val="24"/>
          <w:szCs w:val="24"/>
        </w:rPr>
      </w:pPr>
      <w:r w:rsidRPr="004B3938">
        <w:rPr>
          <w:rFonts w:ascii="Arial" w:hAnsi="Arial" w:cs="Arial"/>
          <w:b/>
          <w:sz w:val="24"/>
          <w:szCs w:val="24"/>
        </w:rPr>
        <w:t>Introduction</w:t>
      </w:r>
    </w:p>
    <w:p w:rsidR="004B3938" w:rsidRPr="004B3938" w:rsidRDefault="004B3938" w:rsidP="004B3938">
      <w:pPr>
        <w:pStyle w:val="ListParagraph"/>
        <w:spacing w:after="0" w:line="240" w:lineRule="auto"/>
        <w:ind w:left="567"/>
        <w:jc w:val="both"/>
        <w:rPr>
          <w:rFonts w:ascii="Arial" w:hAnsi="Arial" w:cs="Arial"/>
          <w:b/>
          <w:sz w:val="24"/>
          <w:szCs w:val="24"/>
        </w:rPr>
      </w:pPr>
    </w:p>
    <w:p w:rsidR="004B3938" w:rsidRDefault="008336E5" w:rsidP="004B3938">
      <w:pPr>
        <w:spacing w:after="0" w:line="240" w:lineRule="auto"/>
        <w:jc w:val="both"/>
        <w:rPr>
          <w:rFonts w:ascii="Arial" w:hAnsi="Arial" w:cs="Arial"/>
          <w:sz w:val="24"/>
          <w:szCs w:val="24"/>
        </w:rPr>
      </w:pPr>
      <w:r w:rsidRPr="004B3938">
        <w:rPr>
          <w:rFonts w:ascii="Arial" w:hAnsi="Arial" w:cs="Arial"/>
          <w:sz w:val="24"/>
          <w:szCs w:val="24"/>
        </w:rPr>
        <w:t>There are nine Further Education (FE) co</w:t>
      </w:r>
      <w:r w:rsidR="007518D9" w:rsidRPr="004B3938">
        <w:rPr>
          <w:rFonts w:ascii="Arial" w:hAnsi="Arial" w:cs="Arial"/>
          <w:sz w:val="24"/>
          <w:szCs w:val="24"/>
        </w:rPr>
        <w:t>lleges in Lancashire</w:t>
      </w:r>
      <w:r w:rsidR="0072762E" w:rsidRPr="004B3938">
        <w:rPr>
          <w:rFonts w:ascii="Arial" w:hAnsi="Arial" w:cs="Arial"/>
          <w:sz w:val="24"/>
          <w:szCs w:val="24"/>
        </w:rPr>
        <w:t xml:space="preserve"> which has run</w:t>
      </w:r>
      <w:r w:rsidRPr="004B3938">
        <w:rPr>
          <w:rFonts w:ascii="Arial" w:hAnsi="Arial" w:cs="Arial"/>
          <w:sz w:val="24"/>
          <w:szCs w:val="24"/>
        </w:rPr>
        <w:t xml:space="preserve"> a broadly tertiar</w:t>
      </w:r>
      <w:r w:rsidR="0072762E" w:rsidRPr="004B3938">
        <w:rPr>
          <w:rFonts w:ascii="Arial" w:hAnsi="Arial" w:cs="Arial"/>
          <w:sz w:val="24"/>
          <w:szCs w:val="24"/>
        </w:rPr>
        <w:t>y system of post-16 education since</w:t>
      </w:r>
      <w:r w:rsidRPr="004B3938">
        <w:rPr>
          <w:rFonts w:ascii="Arial" w:hAnsi="Arial" w:cs="Arial"/>
          <w:sz w:val="24"/>
          <w:szCs w:val="24"/>
        </w:rPr>
        <w:t xml:space="preserve"> the 1970s. Under a tertiary s</w:t>
      </w:r>
      <w:r w:rsidR="003F366D" w:rsidRPr="004B3938">
        <w:rPr>
          <w:rFonts w:ascii="Arial" w:hAnsi="Arial" w:cs="Arial"/>
          <w:sz w:val="24"/>
          <w:szCs w:val="24"/>
        </w:rPr>
        <w:t>ystem most secondary schools cater</w:t>
      </w:r>
      <w:r w:rsidRPr="004B3938">
        <w:rPr>
          <w:rFonts w:ascii="Arial" w:hAnsi="Arial" w:cs="Arial"/>
          <w:sz w:val="24"/>
          <w:szCs w:val="24"/>
        </w:rPr>
        <w:t xml:space="preserve"> for pupils aged 11 – 16 at which </w:t>
      </w:r>
      <w:r w:rsidR="00E779F4" w:rsidRPr="004B3938">
        <w:rPr>
          <w:rFonts w:ascii="Arial" w:hAnsi="Arial" w:cs="Arial"/>
          <w:sz w:val="24"/>
          <w:szCs w:val="24"/>
        </w:rPr>
        <w:t>age the majority</w:t>
      </w:r>
      <w:r w:rsidRPr="004B3938">
        <w:rPr>
          <w:rFonts w:ascii="Arial" w:hAnsi="Arial" w:cs="Arial"/>
          <w:sz w:val="24"/>
          <w:szCs w:val="24"/>
        </w:rPr>
        <w:t xml:space="preserve"> progress to an FE college rather than a School Sixth Form. At the moment 83% of young people aged 17 are in FE </w:t>
      </w:r>
      <w:r w:rsidR="0072762E" w:rsidRPr="004B3938">
        <w:rPr>
          <w:rFonts w:ascii="Arial" w:hAnsi="Arial" w:cs="Arial"/>
          <w:sz w:val="24"/>
          <w:szCs w:val="24"/>
        </w:rPr>
        <w:t>colleges</w:t>
      </w:r>
      <w:r w:rsidRPr="004B3938">
        <w:rPr>
          <w:rFonts w:ascii="Arial" w:hAnsi="Arial" w:cs="Arial"/>
          <w:sz w:val="24"/>
          <w:szCs w:val="24"/>
        </w:rPr>
        <w:t>.</w:t>
      </w:r>
    </w:p>
    <w:p w:rsidR="004B3938" w:rsidRPr="004B3938" w:rsidRDefault="004B3938" w:rsidP="004B3938">
      <w:pPr>
        <w:spacing w:after="0" w:line="240" w:lineRule="auto"/>
        <w:jc w:val="both"/>
        <w:rPr>
          <w:rFonts w:ascii="Arial" w:hAnsi="Arial" w:cs="Arial"/>
          <w:sz w:val="24"/>
          <w:szCs w:val="24"/>
        </w:rPr>
      </w:pPr>
    </w:p>
    <w:p w:rsidR="008336E5" w:rsidRDefault="008336E5" w:rsidP="004B3938">
      <w:pPr>
        <w:spacing w:after="0" w:line="240" w:lineRule="auto"/>
        <w:jc w:val="both"/>
        <w:rPr>
          <w:rFonts w:ascii="Arial" w:hAnsi="Arial" w:cs="Arial"/>
          <w:sz w:val="24"/>
          <w:szCs w:val="24"/>
        </w:rPr>
      </w:pPr>
      <w:r w:rsidRPr="004B3938">
        <w:rPr>
          <w:rFonts w:ascii="Arial" w:hAnsi="Arial" w:cs="Arial"/>
          <w:sz w:val="24"/>
          <w:szCs w:val="24"/>
        </w:rPr>
        <w:t xml:space="preserve">The nine FE colleges of Lancashire have all been assessed as either ‘Outstanding’ or ‘Good’ by Ofsted. This means that </w:t>
      </w:r>
      <w:r w:rsidR="009D62DB" w:rsidRPr="004B3938">
        <w:rPr>
          <w:rFonts w:ascii="Arial" w:hAnsi="Arial" w:cs="Arial"/>
          <w:sz w:val="24"/>
          <w:szCs w:val="24"/>
        </w:rPr>
        <w:t>the Lancashire colleges have the widest incidence of excellence in FE in England. The FE colleges of Lancashire collaborate extensively together to improve their offer to young people. The principals of all the Lancashire Colleges meet regularly and I Chair that group</w:t>
      </w:r>
      <w:r w:rsidR="00E840C7" w:rsidRPr="004B3938">
        <w:rPr>
          <w:rFonts w:ascii="Arial" w:hAnsi="Arial" w:cs="Arial"/>
          <w:sz w:val="24"/>
          <w:szCs w:val="24"/>
        </w:rPr>
        <w:t xml:space="preserve">. </w:t>
      </w:r>
    </w:p>
    <w:p w:rsidR="004B3938" w:rsidRPr="004B3938" w:rsidRDefault="004B3938" w:rsidP="004B3938">
      <w:pPr>
        <w:spacing w:after="0" w:line="240" w:lineRule="auto"/>
        <w:jc w:val="both"/>
        <w:rPr>
          <w:rFonts w:ascii="Arial" w:hAnsi="Arial" w:cs="Arial"/>
          <w:sz w:val="24"/>
          <w:szCs w:val="24"/>
        </w:rPr>
      </w:pPr>
    </w:p>
    <w:p w:rsidR="009D62DB" w:rsidRDefault="009D62DB" w:rsidP="004B3938">
      <w:pPr>
        <w:spacing w:after="0" w:line="240" w:lineRule="auto"/>
        <w:jc w:val="both"/>
        <w:rPr>
          <w:rFonts w:ascii="Arial" w:hAnsi="Arial" w:cs="Arial"/>
          <w:sz w:val="24"/>
          <w:szCs w:val="24"/>
        </w:rPr>
      </w:pPr>
      <w:r w:rsidRPr="004B3938">
        <w:rPr>
          <w:rFonts w:ascii="Arial" w:hAnsi="Arial" w:cs="Arial"/>
          <w:sz w:val="24"/>
          <w:szCs w:val="24"/>
        </w:rPr>
        <w:t>FE provides a full range of courses for young people across Lanc</w:t>
      </w:r>
      <w:r w:rsidR="004B0654" w:rsidRPr="004B3938">
        <w:rPr>
          <w:rFonts w:ascii="Arial" w:hAnsi="Arial" w:cs="Arial"/>
          <w:sz w:val="24"/>
          <w:szCs w:val="24"/>
        </w:rPr>
        <w:t>ashire. This includes study at e</w:t>
      </w:r>
      <w:r w:rsidRPr="004B3938">
        <w:rPr>
          <w:rFonts w:ascii="Arial" w:hAnsi="Arial" w:cs="Arial"/>
          <w:sz w:val="24"/>
          <w:szCs w:val="24"/>
        </w:rPr>
        <w:t>nt</w:t>
      </w:r>
      <w:r w:rsidR="004B0654" w:rsidRPr="004B3938">
        <w:rPr>
          <w:rFonts w:ascii="Arial" w:hAnsi="Arial" w:cs="Arial"/>
          <w:sz w:val="24"/>
          <w:szCs w:val="24"/>
        </w:rPr>
        <w:t>ry l</w:t>
      </w:r>
      <w:r w:rsidR="00775CF3" w:rsidRPr="004B3938">
        <w:rPr>
          <w:rFonts w:ascii="Arial" w:hAnsi="Arial" w:cs="Arial"/>
          <w:sz w:val="24"/>
          <w:szCs w:val="24"/>
        </w:rPr>
        <w:t xml:space="preserve">evel or at foundation, </w:t>
      </w:r>
      <w:r w:rsidRPr="004B3938">
        <w:rPr>
          <w:rFonts w:ascii="Arial" w:hAnsi="Arial" w:cs="Arial"/>
          <w:sz w:val="24"/>
          <w:szCs w:val="24"/>
        </w:rPr>
        <w:t>intermediate</w:t>
      </w:r>
      <w:r w:rsidR="00775CF3" w:rsidRPr="004B3938">
        <w:rPr>
          <w:rFonts w:ascii="Arial" w:hAnsi="Arial" w:cs="Arial"/>
          <w:sz w:val="24"/>
          <w:szCs w:val="24"/>
        </w:rPr>
        <w:t xml:space="preserve"> and advanced</w:t>
      </w:r>
      <w:r w:rsidRPr="004B3938">
        <w:rPr>
          <w:rFonts w:ascii="Arial" w:hAnsi="Arial" w:cs="Arial"/>
          <w:sz w:val="24"/>
          <w:szCs w:val="24"/>
        </w:rPr>
        <w:t xml:space="preserve"> level in all academic and vocational specialisms. We provide a wide range of courses for young people aged 16 – 25 with special educational needs. FE has long prioritised getting young people ready for either higher education or employment. Now that Lancashire has a Local Enterprise Partnership (LEP) and a Skills Board we are even more focused on these twin aims</w:t>
      </w:r>
      <w:r w:rsidR="004648B7" w:rsidRPr="004B3938">
        <w:rPr>
          <w:rFonts w:ascii="Arial" w:hAnsi="Arial" w:cs="Arial"/>
          <w:sz w:val="24"/>
          <w:szCs w:val="24"/>
        </w:rPr>
        <w:t xml:space="preserve"> and have commissioned research into our local labour markets to ensure that young people in FE receive the core and softer skills for them to progress in the world of work</w:t>
      </w:r>
      <w:r w:rsidRPr="004B3938">
        <w:rPr>
          <w:rFonts w:ascii="Arial" w:hAnsi="Arial" w:cs="Arial"/>
          <w:sz w:val="24"/>
          <w:szCs w:val="24"/>
        </w:rPr>
        <w:t xml:space="preserve">. </w:t>
      </w:r>
      <w:r w:rsidR="008F342C" w:rsidRPr="004B3938">
        <w:rPr>
          <w:rFonts w:ascii="Arial" w:hAnsi="Arial" w:cs="Arial"/>
          <w:sz w:val="24"/>
          <w:szCs w:val="24"/>
        </w:rPr>
        <w:t xml:space="preserve">FE in Lancashire is not only about qualifications; we strive to provide a full education that gives learners the soft skills that employer’s value. </w:t>
      </w:r>
      <w:r w:rsidRPr="004B3938">
        <w:rPr>
          <w:rFonts w:ascii="Arial" w:hAnsi="Arial" w:cs="Arial"/>
          <w:sz w:val="24"/>
          <w:szCs w:val="24"/>
        </w:rPr>
        <w:t xml:space="preserve">The Lancashire LEP Skills Board is </w:t>
      </w:r>
      <w:r w:rsidR="00B07F7F" w:rsidRPr="004B3938">
        <w:rPr>
          <w:rFonts w:ascii="Arial" w:hAnsi="Arial" w:cs="Arial"/>
          <w:sz w:val="24"/>
          <w:szCs w:val="24"/>
        </w:rPr>
        <w:t>chaired</w:t>
      </w:r>
      <w:r w:rsidRPr="004B3938">
        <w:rPr>
          <w:rFonts w:ascii="Arial" w:hAnsi="Arial" w:cs="Arial"/>
          <w:sz w:val="24"/>
          <w:szCs w:val="24"/>
        </w:rPr>
        <w:t xml:space="preserve"> by Amanda Melton, the principal of Nelson &amp; Colne College.</w:t>
      </w:r>
    </w:p>
    <w:p w:rsidR="004B3938" w:rsidRPr="004B3938" w:rsidRDefault="004B3938" w:rsidP="004B3938">
      <w:pPr>
        <w:spacing w:after="0" w:line="240" w:lineRule="auto"/>
        <w:jc w:val="both"/>
        <w:rPr>
          <w:rFonts w:ascii="Arial" w:hAnsi="Arial" w:cs="Arial"/>
          <w:sz w:val="24"/>
          <w:szCs w:val="24"/>
        </w:rPr>
      </w:pPr>
    </w:p>
    <w:p w:rsidR="00552380" w:rsidRDefault="00552380" w:rsidP="004B3938">
      <w:pPr>
        <w:pStyle w:val="ListParagraph"/>
        <w:numPr>
          <w:ilvl w:val="0"/>
          <w:numId w:val="1"/>
        </w:numPr>
        <w:spacing w:after="0" w:line="240" w:lineRule="auto"/>
        <w:ind w:left="567" w:hanging="567"/>
        <w:jc w:val="both"/>
        <w:rPr>
          <w:rFonts w:ascii="Arial" w:hAnsi="Arial" w:cs="Arial"/>
          <w:b/>
          <w:sz w:val="24"/>
          <w:szCs w:val="24"/>
        </w:rPr>
      </w:pPr>
      <w:r w:rsidRPr="004B3938">
        <w:rPr>
          <w:rFonts w:ascii="Arial" w:hAnsi="Arial" w:cs="Arial"/>
          <w:b/>
          <w:sz w:val="24"/>
          <w:szCs w:val="24"/>
        </w:rPr>
        <w:t>The FE Colleges of Lancashire</w:t>
      </w:r>
    </w:p>
    <w:p w:rsidR="004B3938" w:rsidRPr="004B3938" w:rsidRDefault="004B3938" w:rsidP="004B3938">
      <w:pPr>
        <w:pStyle w:val="ListParagraph"/>
        <w:spacing w:after="0" w:line="240" w:lineRule="auto"/>
        <w:ind w:left="567"/>
        <w:jc w:val="both"/>
        <w:rPr>
          <w:rFonts w:ascii="Arial" w:hAnsi="Arial" w:cs="Arial"/>
          <w:b/>
          <w:sz w:val="24"/>
          <w:szCs w:val="24"/>
        </w:rPr>
      </w:pPr>
    </w:p>
    <w:p w:rsidR="00552380" w:rsidRPr="004B3938" w:rsidRDefault="00552380" w:rsidP="004B3938">
      <w:pPr>
        <w:spacing w:after="0" w:line="240" w:lineRule="auto"/>
        <w:jc w:val="both"/>
        <w:rPr>
          <w:rFonts w:ascii="Arial" w:hAnsi="Arial" w:cs="Arial"/>
          <w:sz w:val="24"/>
          <w:szCs w:val="24"/>
        </w:rPr>
      </w:pPr>
      <w:r w:rsidRPr="004B3938">
        <w:rPr>
          <w:rFonts w:ascii="Arial" w:hAnsi="Arial" w:cs="Arial"/>
          <w:sz w:val="24"/>
          <w:szCs w:val="24"/>
        </w:rPr>
        <w:t>There are nine FE college across Lancashire:-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Accrington &amp; Rossendale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Burnley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Lancaster &amp; Morecambe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Cardinal Newman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Myerscough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Nelson &amp; Colne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Preston’s College</w:t>
      </w:r>
    </w:p>
    <w:p w:rsidR="00552380" w:rsidRPr="004B3938"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Runshaw College</w:t>
      </w:r>
    </w:p>
    <w:p w:rsidR="00552380" w:rsidRDefault="00552380" w:rsidP="004B3938">
      <w:pPr>
        <w:pStyle w:val="ListParagraph"/>
        <w:numPr>
          <w:ilvl w:val="0"/>
          <w:numId w:val="2"/>
        </w:numPr>
        <w:spacing w:after="0" w:line="240" w:lineRule="auto"/>
        <w:jc w:val="both"/>
        <w:rPr>
          <w:rFonts w:ascii="Arial" w:hAnsi="Arial" w:cs="Arial"/>
          <w:sz w:val="24"/>
          <w:szCs w:val="24"/>
        </w:rPr>
      </w:pPr>
      <w:r w:rsidRPr="004B3938">
        <w:rPr>
          <w:rFonts w:ascii="Arial" w:hAnsi="Arial" w:cs="Arial"/>
          <w:sz w:val="24"/>
          <w:szCs w:val="24"/>
        </w:rPr>
        <w:t>West Lancs College</w:t>
      </w:r>
    </w:p>
    <w:p w:rsidR="004B3938" w:rsidRPr="004B3938" w:rsidRDefault="004B3938" w:rsidP="004B3938">
      <w:pPr>
        <w:pStyle w:val="ListParagraph"/>
        <w:spacing w:after="0" w:line="240" w:lineRule="auto"/>
        <w:jc w:val="both"/>
        <w:rPr>
          <w:rFonts w:ascii="Arial" w:hAnsi="Arial" w:cs="Arial"/>
          <w:sz w:val="24"/>
          <w:szCs w:val="24"/>
        </w:rPr>
      </w:pPr>
    </w:p>
    <w:p w:rsidR="00FF1D3F" w:rsidRDefault="00552380" w:rsidP="004B3938">
      <w:pPr>
        <w:spacing w:after="0" w:line="240" w:lineRule="auto"/>
        <w:jc w:val="both"/>
        <w:rPr>
          <w:rFonts w:ascii="Arial" w:hAnsi="Arial" w:cs="Arial"/>
          <w:sz w:val="24"/>
          <w:szCs w:val="24"/>
        </w:rPr>
      </w:pPr>
      <w:r w:rsidRPr="004B3938">
        <w:rPr>
          <w:rFonts w:ascii="Arial" w:hAnsi="Arial" w:cs="Arial"/>
          <w:sz w:val="24"/>
          <w:szCs w:val="24"/>
        </w:rPr>
        <w:t>Cardinal Newman College is a Sixth Form College specialising largely in A Levels and Myerscough College is a land based college specialising in training for agricultural and rural trades.</w:t>
      </w:r>
      <w:r w:rsidR="004648B7" w:rsidRPr="004B3938">
        <w:rPr>
          <w:rFonts w:ascii="Arial" w:hAnsi="Arial" w:cs="Arial"/>
          <w:sz w:val="24"/>
          <w:szCs w:val="24"/>
        </w:rPr>
        <w:t xml:space="preserve"> </w:t>
      </w:r>
      <w:r w:rsidR="00FF1D3F" w:rsidRPr="004B3938">
        <w:rPr>
          <w:rFonts w:ascii="Arial" w:hAnsi="Arial" w:cs="Arial"/>
          <w:sz w:val="24"/>
          <w:szCs w:val="24"/>
        </w:rPr>
        <w:t>A</w:t>
      </w:r>
      <w:r w:rsidR="00B01F85" w:rsidRPr="004B3938">
        <w:rPr>
          <w:rFonts w:ascii="Arial" w:hAnsi="Arial" w:cs="Arial"/>
          <w:sz w:val="24"/>
          <w:szCs w:val="24"/>
        </w:rPr>
        <w:t>s a condition of funding a</w:t>
      </w:r>
      <w:r w:rsidR="00FF1D3F" w:rsidRPr="004B3938">
        <w:rPr>
          <w:rFonts w:ascii="Arial" w:hAnsi="Arial" w:cs="Arial"/>
          <w:sz w:val="24"/>
          <w:szCs w:val="24"/>
        </w:rPr>
        <w:t>ll FE co</w:t>
      </w:r>
      <w:r w:rsidR="00B01F85" w:rsidRPr="004B3938">
        <w:rPr>
          <w:rFonts w:ascii="Arial" w:hAnsi="Arial" w:cs="Arial"/>
          <w:sz w:val="24"/>
          <w:szCs w:val="24"/>
        </w:rPr>
        <w:t>lleges</w:t>
      </w:r>
      <w:r w:rsidR="00FF1D3F" w:rsidRPr="004B3938">
        <w:rPr>
          <w:rFonts w:ascii="Arial" w:hAnsi="Arial" w:cs="Arial"/>
          <w:sz w:val="24"/>
          <w:szCs w:val="24"/>
        </w:rPr>
        <w:t xml:space="preserve"> offer courses in English and maths </w:t>
      </w:r>
      <w:r w:rsidR="00B01F85" w:rsidRPr="004B3938">
        <w:rPr>
          <w:rFonts w:ascii="Arial" w:hAnsi="Arial" w:cs="Arial"/>
          <w:sz w:val="24"/>
          <w:szCs w:val="24"/>
        </w:rPr>
        <w:t>to students who did not secure</w:t>
      </w:r>
      <w:r w:rsidR="00FF1D3F" w:rsidRPr="004B3938">
        <w:rPr>
          <w:rFonts w:ascii="Arial" w:hAnsi="Arial" w:cs="Arial"/>
          <w:sz w:val="24"/>
          <w:szCs w:val="24"/>
        </w:rPr>
        <w:t xml:space="preserve"> good GCSE pass</w:t>
      </w:r>
      <w:r w:rsidR="00B01F85" w:rsidRPr="004B3938">
        <w:rPr>
          <w:rFonts w:ascii="Arial" w:hAnsi="Arial" w:cs="Arial"/>
          <w:sz w:val="24"/>
          <w:szCs w:val="24"/>
        </w:rPr>
        <w:t>es</w:t>
      </w:r>
      <w:r w:rsidR="00FF1D3F" w:rsidRPr="004B3938">
        <w:rPr>
          <w:rFonts w:ascii="Arial" w:hAnsi="Arial" w:cs="Arial"/>
          <w:sz w:val="24"/>
          <w:szCs w:val="24"/>
        </w:rPr>
        <w:t xml:space="preserve"> in these subjects whilst at school.</w:t>
      </w:r>
    </w:p>
    <w:p w:rsidR="004B3938" w:rsidRPr="004B3938" w:rsidRDefault="004B3938" w:rsidP="004B3938">
      <w:pPr>
        <w:spacing w:after="0" w:line="240" w:lineRule="auto"/>
        <w:jc w:val="both"/>
        <w:rPr>
          <w:rFonts w:ascii="Arial" w:hAnsi="Arial" w:cs="Arial"/>
          <w:sz w:val="24"/>
          <w:szCs w:val="24"/>
        </w:rPr>
      </w:pPr>
    </w:p>
    <w:p w:rsidR="006A4290" w:rsidRDefault="006A4290" w:rsidP="004B3938">
      <w:pPr>
        <w:spacing w:after="0" w:line="240" w:lineRule="auto"/>
        <w:jc w:val="both"/>
        <w:rPr>
          <w:rFonts w:ascii="Arial" w:hAnsi="Arial" w:cs="Arial"/>
          <w:sz w:val="24"/>
          <w:szCs w:val="24"/>
        </w:rPr>
      </w:pPr>
      <w:r w:rsidRPr="004B3938">
        <w:rPr>
          <w:rFonts w:ascii="Arial" w:hAnsi="Arial" w:cs="Arial"/>
          <w:sz w:val="24"/>
          <w:szCs w:val="24"/>
        </w:rPr>
        <w:t>The FE sector in Lancashire is surp</w:t>
      </w:r>
      <w:r w:rsidR="00CE2EC0" w:rsidRPr="004B3938">
        <w:rPr>
          <w:rFonts w:ascii="Arial" w:hAnsi="Arial" w:cs="Arial"/>
          <w:sz w:val="24"/>
          <w:szCs w:val="24"/>
        </w:rPr>
        <w:t>risingly large. We employ over 4</w:t>
      </w:r>
      <w:r w:rsidRPr="004B3938">
        <w:rPr>
          <w:rFonts w:ascii="Arial" w:hAnsi="Arial" w:cs="Arial"/>
          <w:sz w:val="24"/>
          <w:szCs w:val="24"/>
        </w:rPr>
        <w:t>,</w:t>
      </w:r>
      <w:r w:rsidR="00F55E76" w:rsidRPr="004B3938">
        <w:rPr>
          <w:rFonts w:ascii="Arial" w:hAnsi="Arial" w:cs="Arial"/>
          <w:sz w:val="24"/>
          <w:szCs w:val="24"/>
        </w:rPr>
        <w:t>300 people and work with over 7</w:t>
      </w:r>
      <w:r w:rsidRPr="004B3938">
        <w:rPr>
          <w:rFonts w:ascii="Arial" w:hAnsi="Arial" w:cs="Arial"/>
          <w:sz w:val="24"/>
          <w:szCs w:val="24"/>
        </w:rPr>
        <w:t xml:space="preserve">,000 local employers each year. </w:t>
      </w:r>
      <w:r w:rsidR="008A4141" w:rsidRPr="004B3938">
        <w:rPr>
          <w:rFonts w:ascii="Arial" w:hAnsi="Arial" w:cs="Arial"/>
          <w:sz w:val="24"/>
          <w:szCs w:val="24"/>
        </w:rPr>
        <w:t xml:space="preserve">The annual revenue of the nine colleges above is £183m pa. </w:t>
      </w:r>
      <w:r w:rsidRPr="004B3938">
        <w:rPr>
          <w:rFonts w:ascii="Arial" w:hAnsi="Arial" w:cs="Arial"/>
          <w:sz w:val="24"/>
          <w:szCs w:val="24"/>
        </w:rPr>
        <w:t>As businesses we contribute over £275m Gross Added Value each year to Lancashire’s economy. The value of the qualificat</w:t>
      </w:r>
      <w:r w:rsidR="00F05B40" w:rsidRPr="004B3938">
        <w:rPr>
          <w:rFonts w:ascii="Arial" w:hAnsi="Arial" w:cs="Arial"/>
          <w:sz w:val="24"/>
          <w:szCs w:val="24"/>
        </w:rPr>
        <w:t>ions gained by students is £1.5b</w:t>
      </w:r>
      <w:r w:rsidRPr="004B3938">
        <w:rPr>
          <w:rFonts w:ascii="Arial" w:hAnsi="Arial" w:cs="Arial"/>
          <w:sz w:val="24"/>
          <w:szCs w:val="24"/>
        </w:rPr>
        <w:t>n in annual lifetime benefits.</w:t>
      </w:r>
    </w:p>
    <w:p w:rsidR="004B3938" w:rsidRPr="004B3938" w:rsidRDefault="004B3938" w:rsidP="004B3938">
      <w:pPr>
        <w:spacing w:after="0" w:line="240" w:lineRule="auto"/>
        <w:jc w:val="both"/>
        <w:rPr>
          <w:rFonts w:ascii="Arial" w:hAnsi="Arial" w:cs="Arial"/>
          <w:sz w:val="24"/>
          <w:szCs w:val="24"/>
        </w:rPr>
      </w:pPr>
    </w:p>
    <w:p w:rsidR="00484FE5" w:rsidRDefault="00484FE5" w:rsidP="004B3938">
      <w:pPr>
        <w:spacing w:after="0" w:line="240" w:lineRule="auto"/>
        <w:jc w:val="both"/>
        <w:rPr>
          <w:rFonts w:ascii="Arial" w:hAnsi="Arial" w:cs="Arial"/>
          <w:sz w:val="24"/>
          <w:szCs w:val="24"/>
        </w:rPr>
      </w:pPr>
      <w:r w:rsidRPr="004B3938">
        <w:rPr>
          <w:rFonts w:ascii="Arial" w:hAnsi="Arial" w:cs="Arial"/>
          <w:sz w:val="24"/>
          <w:szCs w:val="24"/>
        </w:rPr>
        <w:t>One issue for the FE sector is funding. We are not funded by the government the same way as schoo</w:t>
      </w:r>
      <w:r w:rsidR="00B33F95" w:rsidRPr="004B3938">
        <w:rPr>
          <w:rFonts w:ascii="Arial" w:hAnsi="Arial" w:cs="Arial"/>
          <w:sz w:val="24"/>
          <w:szCs w:val="24"/>
        </w:rPr>
        <w:t>ls wit</w:t>
      </w:r>
      <w:r w:rsidR="00C30AE3" w:rsidRPr="004B3938">
        <w:rPr>
          <w:rFonts w:ascii="Arial" w:hAnsi="Arial" w:cs="Arial"/>
          <w:sz w:val="24"/>
          <w:szCs w:val="24"/>
        </w:rPr>
        <w:t>h sixth forms which</w:t>
      </w:r>
      <w:r w:rsidR="00C71A1E" w:rsidRPr="004B3938">
        <w:rPr>
          <w:rFonts w:ascii="Arial" w:hAnsi="Arial" w:cs="Arial"/>
          <w:sz w:val="24"/>
          <w:szCs w:val="24"/>
        </w:rPr>
        <w:t xml:space="preserve"> receive slightly</w:t>
      </w:r>
      <w:r w:rsidR="000F0028" w:rsidRPr="004B3938">
        <w:rPr>
          <w:rFonts w:ascii="Arial" w:hAnsi="Arial" w:cs="Arial"/>
          <w:b/>
          <w:color w:val="FF0000"/>
          <w:sz w:val="24"/>
          <w:szCs w:val="24"/>
        </w:rPr>
        <w:t xml:space="preserve"> </w:t>
      </w:r>
      <w:r w:rsidR="00C30AE3" w:rsidRPr="004B3938">
        <w:rPr>
          <w:rFonts w:ascii="Arial" w:hAnsi="Arial" w:cs="Arial"/>
          <w:sz w:val="24"/>
          <w:szCs w:val="24"/>
        </w:rPr>
        <w:t>more</w:t>
      </w:r>
      <w:r w:rsidR="00813937" w:rsidRPr="004B3938">
        <w:rPr>
          <w:rFonts w:ascii="Arial" w:hAnsi="Arial" w:cs="Arial"/>
          <w:sz w:val="24"/>
          <w:szCs w:val="24"/>
        </w:rPr>
        <w:t xml:space="preserve"> </w:t>
      </w:r>
      <w:r w:rsidRPr="004B3938">
        <w:rPr>
          <w:rFonts w:ascii="Arial" w:hAnsi="Arial" w:cs="Arial"/>
          <w:sz w:val="24"/>
          <w:szCs w:val="24"/>
        </w:rPr>
        <w:t>funding</w:t>
      </w:r>
      <w:r w:rsidR="00813937" w:rsidRPr="004B3938">
        <w:rPr>
          <w:rFonts w:ascii="Arial" w:hAnsi="Arial" w:cs="Arial"/>
          <w:sz w:val="24"/>
          <w:szCs w:val="24"/>
        </w:rPr>
        <w:t xml:space="preserve"> for </w:t>
      </w:r>
      <w:r w:rsidR="00B33F95" w:rsidRPr="004B3938">
        <w:rPr>
          <w:rFonts w:ascii="Arial" w:hAnsi="Arial" w:cs="Arial"/>
          <w:sz w:val="24"/>
          <w:szCs w:val="24"/>
        </w:rPr>
        <w:t>each 18 year old.</w:t>
      </w:r>
      <w:r w:rsidR="00813937" w:rsidRPr="004B3938">
        <w:rPr>
          <w:rFonts w:ascii="Arial" w:hAnsi="Arial" w:cs="Arial"/>
          <w:b/>
          <w:color w:val="FF0000"/>
          <w:sz w:val="24"/>
          <w:szCs w:val="24"/>
        </w:rPr>
        <w:t xml:space="preserve"> </w:t>
      </w:r>
      <w:r w:rsidR="00D67BD3" w:rsidRPr="004B3938">
        <w:rPr>
          <w:rFonts w:ascii="Arial" w:hAnsi="Arial" w:cs="Arial"/>
          <w:sz w:val="24"/>
          <w:szCs w:val="24"/>
        </w:rPr>
        <w:t xml:space="preserve">However, </w:t>
      </w:r>
      <w:r w:rsidR="00C71A1E" w:rsidRPr="004B3938">
        <w:rPr>
          <w:rFonts w:ascii="Arial" w:hAnsi="Arial" w:cs="Arial"/>
          <w:sz w:val="24"/>
          <w:szCs w:val="24"/>
        </w:rPr>
        <w:t xml:space="preserve">maintained schools and academies can both recover VAT costs from HMRC whereas colleges bear VAT as a cost. The Department for Education and local councils provide 100% grants for capital expenditure </w:t>
      </w:r>
      <w:r w:rsidR="00C30AE3" w:rsidRPr="004B3938">
        <w:rPr>
          <w:rFonts w:ascii="Arial" w:hAnsi="Arial" w:cs="Arial"/>
          <w:sz w:val="24"/>
          <w:szCs w:val="24"/>
        </w:rPr>
        <w:t xml:space="preserve">for schools with sixth forms </w:t>
      </w:r>
      <w:r w:rsidR="00C71A1E" w:rsidRPr="004B3938">
        <w:rPr>
          <w:rFonts w:ascii="Arial" w:hAnsi="Arial" w:cs="Arial"/>
          <w:sz w:val="24"/>
          <w:szCs w:val="24"/>
        </w:rPr>
        <w:t xml:space="preserve">whereas colleges have to cover some of the funding direct. </w:t>
      </w:r>
      <w:r w:rsidR="00503128" w:rsidRPr="004B3938">
        <w:rPr>
          <w:rFonts w:ascii="Arial" w:hAnsi="Arial" w:cs="Arial"/>
          <w:sz w:val="24"/>
          <w:szCs w:val="24"/>
        </w:rPr>
        <w:t xml:space="preserve">These two factors account for a gap in funding of about £200 </w:t>
      </w:r>
      <w:r w:rsidR="00B006BD" w:rsidRPr="004B3938">
        <w:rPr>
          <w:rFonts w:ascii="Arial" w:hAnsi="Arial" w:cs="Arial"/>
          <w:sz w:val="24"/>
          <w:szCs w:val="24"/>
        </w:rPr>
        <w:t xml:space="preserve">per pupil </w:t>
      </w:r>
      <w:r w:rsidR="00030274" w:rsidRPr="004B3938">
        <w:rPr>
          <w:rFonts w:ascii="Arial" w:hAnsi="Arial" w:cs="Arial"/>
          <w:sz w:val="24"/>
          <w:szCs w:val="24"/>
        </w:rPr>
        <w:t>pa between schools and colleges</w:t>
      </w:r>
      <w:r w:rsidR="00503128" w:rsidRPr="004B3938">
        <w:rPr>
          <w:rFonts w:ascii="Arial" w:hAnsi="Arial" w:cs="Arial"/>
          <w:sz w:val="24"/>
          <w:szCs w:val="24"/>
        </w:rPr>
        <w:t>.</w:t>
      </w:r>
      <w:r w:rsidR="00030274" w:rsidRPr="004B3938">
        <w:rPr>
          <w:rFonts w:ascii="Arial" w:hAnsi="Arial" w:cs="Arial"/>
          <w:sz w:val="24"/>
          <w:szCs w:val="24"/>
        </w:rPr>
        <w:t xml:space="preserve"> </w:t>
      </w:r>
      <w:r w:rsidR="00503128" w:rsidRPr="004B3938">
        <w:rPr>
          <w:rFonts w:ascii="Arial" w:hAnsi="Arial" w:cs="Arial"/>
          <w:sz w:val="24"/>
          <w:szCs w:val="24"/>
        </w:rPr>
        <w:t xml:space="preserve">FE colleges also </w:t>
      </w:r>
      <w:r w:rsidR="00813937" w:rsidRPr="004B3938">
        <w:rPr>
          <w:rFonts w:ascii="Arial" w:hAnsi="Arial" w:cs="Arial"/>
          <w:sz w:val="24"/>
          <w:szCs w:val="24"/>
        </w:rPr>
        <w:t>provide vocational course</w:t>
      </w:r>
      <w:r w:rsidR="0086375E" w:rsidRPr="004B3938">
        <w:rPr>
          <w:rFonts w:ascii="Arial" w:hAnsi="Arial" w:cs="Arial"/>
          <w:sz w:val="24"/>
          <w:szCs w:val="24"/>
        </w:rPr>
        <w:t>s</w:t>
      </w:r>
      <w:r w:rsidR="00813937" w:rsidRPr="004B3938">
        <w:rPr>
          <w:rFonts w:ascii="Arial" w:hAnsi="Arial" w:cs="Arial"/>
          <w:sz w:val="24"/>
          <w:szCs w:val="24"/>
        </w:rPr>
        <w:t xml:space="preserve"> in the engineering </w:t>
      </w:r>
      <w:r w:rsidR="00423461" w:rsidRPr="004B3938">
        <w:rPr>
          <w:rFonts w:ascii="Arial" w:hAnsi="Arial" w:cs="Arial"/>
          <w:sz w:val="24"/>
          <w:szCs w:val="24"/>
        </w:rPr>
        <w:t>or construction sectors which are</w:t>
      </w:r>
      <w:r w:rsidR="00813937" w:rsidRPr="004B3938">
        <w:rPr>
          <w:rFonts w:ascii="Arial" w:hAnsi="Arial" w:cs="Arial"/>
          <w:sz w:val="24"/>
          <w:szCs w:val="24"/>
        </w:rPr>
        <w:t xml:space="preserve"> much more expensive </w:t>
      </w:r>
      <w:r w:rsidR="00503128" w:rsidRPr="004B3938">
        <w:rPr>
          <w:rFonts w:ascii="Arial" w:hAnsi="Arial" w:cs="Arial"/>
          <w:sz w:val="24"/>
          <w:szCs w:val="24"/>
        </w:rPr>
        <w:t xml:space="preserve">to deliver </w:t>
      </w:r>
      <w:r w:rsidR="00813937" w:rsidRPr="004B3938">
        <w:rPr>
          <w:rFonts w:ascii="Arial" w:hAnsi="Arial" w:cs="Arial"/>
          <w:sz w:val="24"/>
          <w:szCs w:val="24"/>
        </w:rPr>
        <w:t xml:space="preserve">than A Levels. It is also worth noting that nationally 29% of students </w:t>
      </w:r>
      <w:r w:rsidR="00423461" w:rsidRPr="004B3938">
        <w:rPr>
          <w:rFonts w:ascii="Arial" w:hAnsi="Arial" w:cs="Arial"/>
          <w:sz w:val="24"/>
          <w:szCs w:val="24"/>
        </w:rPr>
        <w:t xml:space="preserve">in FE </w:t>
      </w:r>
      <w:r w:rsidR="00813937" w:rsidRPr="004B3938">
        <w:rPr>
          <w:rFonts w:ascii="Arial" w:hAnsi="Arial" w:cs="Arial"/>
          <w:sz w:val="24"/>
          <w:szCs w:val="24"/>
        </w:rPr>
        <w:t>come from disadvanta</w:t>
      </w:r>
      <w:r w:rsidR="00CA16AF" w:rsidRPr="004B3938">
        <w:rPr>
          <w:rFonts w:ascii="Arial" w:hAnsi="Arial" w:cs="Arial"/>
          <w:sz w:val="24"/>
          <w:szCs w:val="24"/>
        </w:rPr>
        <w:t>ged neighbourhoods whereas for school sixth f</w:t>
      </w:r>
      <w:r w:rsidR="00813937" w:rsidRPr="004B3938">
        <w:rPr>
          <w:rFonts w:ascii="Arial" w:hAnsi="Arial" w:cs="Arial"/>
          <w:sz w:val="24"/>
          <w:szCs w:val="24"/>
        </w:rPr>
        <w:t>orms that figure is 19%.</w:t>
      </w:r>
    </w:p>
    <w:p w:rsidR="004B3938" w:rsidRPr="004B3938" w:rsidRDefault="004B3938" w:rsidP="004B3938">
      <w:pPr>
        <w:spacing w:after="0" w:line="240" w:lineRule="auto"/>
        <w:jc w:val="both"/>
        <w:rPr>
          <w:rFonts w:ascii="Arial" w:hAnsi="Arial" w:cs="Arial"/>
          <w:sz w:val="24"/>
          <w:szCs w:val="24"/>
        </w:rPr>
      </w:pPr>
    </w:p>
    <w:p w:rsidR="00AE3536" w:rsidRDefault="004648B7" w:rsidP="004B3938">
      <w:pPr>
        <w:spacing w:after="0" w:line="240" w:lineRule="auto"/>
        <w:jc w:val="both"/>
        <w:rPr>
          <w:rFonts w:ascii="Arial" w:hAnsi="Arial" w:cs="Arial"/>
          <w:sz w:val="24"/>
          <w:szCs w:val="24"/>
        </w:rPr>
      </w:pPr>
      <w:r w:rsidRPr="004B3938">
        <w:rPr>
          <w:rFonts w:ascii="Arial" w:hAnsi="Arial" w:cs="Arial"/>
          <w:sz w:val="24"/>
          <w:szCs w:val="24"/>
        </w:rPr>
        <w:t xml:space="preserve">The following table </w:t>
      </w:r>
      <w:r w:rsidR="006104D9" w:rsidRPr="004B3938">
        <w:rPr>
          <w:rFonts w:ascii="Arial" w:hAnsi="Arial" w:cs="Arial"/>
          <w:sz w:val="24"/>
          <w:szCs w:val="24"/>
        </w:rPr>
        <w:t xml:space="preserve">gives an indication of the size and quality </w:t>
      </w:r>
      <w:r w:rsidRPr="004B3938">
        <w:rPr>
          <w:rFonts w:ascii="Arial" w:hAnsi="Arial" w:cs="Arial"/>
          <w:sz w:val="24"/>
          <w:szCs w:val="24"/>
        </w:rPr>
        <w:t>of our sector.</w:t>
      </w:r>
      <w:r w:rsidR="00AE3536" w:rsidRPr="004B3938">
        <w:rPr>
          <w:rFonts w:ascii="Arial" w:hAnsi="Arial" w:cs="Arial"/>
          <w:sz w:val="24"/>
          <w:szCs w:val="24"/>
        </w:rPr>
        <w:t xml:space="preserve"> To measure the effectiveness of our education and training of young people we focus on participation, achievement and progression. Participation refers to the number of young people involved in education or training. Achievement or success rates measure the proportion of young people starting a course who finish the course and pass it. Progression rates measure the proportion of young people who find work or progress to further relevant study having completed a course at an FE college.</w:t>
      </w:r>
    </w:p>
    <w:p w:rsidR="004B3938" w:rsidRPr="004B3938" w:rsidRDefault="004B3938" w:rsidP="004B3938">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37"/>
        <w:gridCol w:w="1869"/>
        <w:gridCol w:w="1843"/>
        <w:gridCol w:w="2410"/>
      </w:tblGrid>
      <w:tr w:rsidR="00E820E4" w:rsidRPr="004B3938" w:rsidTr="00E820E4">
        <w:tc>
          <w:tcPr>
            <w:tcW w:w="2237" w:type="dxa"/>
          </w:tcPr>
          <w:p w:rsidR="00E820E4" w:rsidRPr="004B3938" w:rsidRDefault="00E820E4" w:rsidP="004B3938">
            <w:pPr>
              <w:rPr>
                <w:rFonts w:ascii="Arial" w:hAnsi="Arial" w:cs="Arial"/>
                <w:b/>
                <w:sz w:val="24"/>
                <w:szCs w:val="24"/>
              </w:rPr>
            </w:pPr>
            <w:r w:rsidRPr="004B3938">
              <w:rPr>
                <w:rFonts w:ascii="Arial" w:hAnsi="Arial" w:cs="Arial"/>
                <w:b/>
                <w:sz w:val="24"/>
                <w:szCs w:val="24"/>
              </w:rPr>
              <w:t>All Lancashire FE Colleges</w:t>
            </w:r>
          </w:p>
        </w:tc>
        <w:tc>
          <w:tcPr>
            <w:tcW w:w="1869" w:type="dxa"/>
          </w:tcPr>
          <w:p w:rsidR="00E820E4" w:rsidRPr="004B3938" w:rsidRDefault="00E820E4" w:rsidP="004B3938">
            <w:pPr>
              <w:rPr>
                <w:rFonts w:ascii="Arial" w:hAnsi="Arial" w:cs="Arial"/>
                <w:b/>
                <w:sz w:val="24"/>
                <w:szCs w:val="24"/>
              </w:rPr>
            </w:pPr>
          </w:p>
        </w:tc>
        <w:tc>
          <w:tcPr>
            <w:tcW w:w="1843" w:type="dxa"/>
          </w:tcPr>
          <w:p w:rsidR="00E820E4" w:rsidRPr="004B3938" w:rsidRDefault="00E820E4" w:rsidP="004B3938">
            <w:pPr>
              <w:rPr>
                <w:rFonts w:ascii="Arial" w:hAnsi="Arial" w:cs="Arial"/>
                <w:b/>
                <w:sz w:val="24"/>
                <w:szCs w:val="24"/>
              </w:rPr>
            </w:pPr>
          </w:p>
        </w:tc>
        <w:tc>
          <w:tcPr>
            <w:tcW w:w="2410" w:type="dxa"/>
          </w:tcPr>
          <w:p w:rsidR="00E820E4" w:rsidRPr="004B3938" w:rsidRDefault="00E820E4" w:rsidP="004B3938">
            <w:pPr>
              <w:rPr>
                <w:rFonts w:ascii="Arial" w:hAnsi="Arial" w:cs="Arial"/>
                <w:b/>
                <w:sz w:val="24"/>
                <w:szCs w:val="24"/>
              </w:rPr>
            </w:pPr>
            <w:r w:rsidRPr="004B3938">
              <w:rPr>
                <w:rFonts w:ascii="Arial" w:hAnsi="Arial" w:cs="Arial"/>
                <w:b/>
                <w:sz w:val="24"/>
                <w:szCs w:val="24"/>
              </w:rPr>
              <w:t>All Lancs Providers</w:t>
            </w: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p>
        </w:tc>
        <w:tc>
          <w:tcPr>
            <w:tcW w:w="1843" w:type="dxa"/>
          </w:tcPr>
          <w:p w:rsidR="00E820E4" w:rsidRPr="004B3938" w:rsidRDefault="00E820E4" w:rsidP="004B3938">
            <w:pPr>
              <w:jc w:val="both"/>
              <w:rPr>
                <w:rFonts w:ascii="Arial" w:hAnsi="Arial" w:cs="Arial"/>
                <w:b/>
                <w:sz w:val="24"/>
                <w:szCs w:val="24"/>
              </w:rPr>
            </w:pPr>
          </w:p>
        </w:tc>
        <w:tc>
          <w:tcPr>
            <w:tcW w:w="2410" w:type="dxa"/>
          </w:tcPr>
          <w:p w:rsidR="00E820E4" w:rsidRPr="004B3938" w:rsidRDefault="00E820E4" w:rsidP="004B3938">
            <w:pPr>
              <w:jc w:val="both"/>
              <w:rPr>
                <w:rFonts w:ascii="Arial" w:hAnsi="Arial" w:cs="Arial"/>
                <w:b/>
                <w:sz w:val="24"/>
                <w:szCs w:val="24"/>
              </w:rPr>
            </w:pPr>
          </w:p>
        </w:tc>
      </w:tr>
      <w:tr w:rsidR="00E820E4" w:rsidRPr="004B3938" w:rsidTr="00E820E4">
        <w:tc>
          <w:tcPr>
            <w:tcW w:w="2237"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16–18 Learner numbers, 2013/14</w:t>
            </w: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Classroom based</w:t>
            </w:r>
          </w:p>
        </w:tc>
        <w:tc>
          <w:tcPr>
            <w:tcW w:w="1843"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18,760</w:t>
            </w:r>
          </w:p>
        </w:tc>
        <w:tc>
          <w:tcPr>
            <w:tcW w:w="2410" w:type="dxa"/>
          </w:tcPr>
          <w:p w:rsidR="00E820E4" w:rsidRPr="004B3938" w:rsidRDefault="00E820E4" w:rsidP="004B3938">
            <w:pPr>
              <w:jc w:val="both"/>
              <w:rPr>
                <w:rFonts w:ascii="Arial" w:hAnsi="Arial" w:cs="Arial"/>
                <w:b/>
                <w:sz w:val="24"/>
                <w:szCs w:val="24"/>
              </w:rPr>
            </w:pP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Work based</w:t>
            </w:r>
          </w:p>
        </w:tc>
        <w:tc>
          <w:tcPr>
            <w:tcW w:w="1843" w:type="dxa"/>
          </w:tcPr>
          <w:p w:rsidR="00E820E4" w:rsidRPr="004B3938" w:rsidRDefault="00E820E4" w:rsidP="004B3938">
            <w:pPr>
              <w:jc w:val="both"/>
              <w:rPr>
                <w:rFonts w:ascii="Arial" w:hAnsi="Arial" w:cs="Arial"/>
                <w:b/>
                <w:color w:val="FF0000"/>
                <w:sz w:val="24"/>
                <w:szCs w:val="24"/>
              </w:rPr>
            </w:pPr>
            <w:r w:rsidRPr="004B3938">
              <w:rPr>
                <w:rFonts w:ascii="Arial" w:hAnsi="Arial" w:cs="Arial"/>
                <w:b/>
                <w:sz w:val="24"/>
                <w:szCs w:val="24"/>
              </w:rPr>
              <w:t>1,910</w:t>
            </w:r>
          </w:p>
        </w:tc>
        <w:tc>
          <w:tcPr>
            <w:tcW w:w="2410" w:type="dxa"/>
          </w:tcPr>
          <w:p w:rsidR="00E820E4" w:rsidRPr="004B3938" w:rsidRDefault="00E820E4" w:rsidP="004B3938">
            <w:pPr>
              <w:jc w:val="both"/>
              <w:rPr>
                <w:rFonts w:ascii="Arial" w:hAnsi="Arial" w:cs="Arial"/>
                <w:b/>
                <w:sz w:val="24"/>
                <w:szCs w:val="24"/>
              </w:rPr>
            </w:pP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Total</w:t>
            </w:r>
          </w:p>
        </w:tc>
        <w:tc>
          <w:tcPr>
            <w:tcW w:w="1843"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20,670</w:t>
            </w:r>
          </w:p>
        </w:tc>
        <w:tc>
          <w:tcPr>
            <w:tcW w:w="2410" w:type="dxa"/>
          </w:tcPr>
          <w:p w:rsidR="00E820E4" w:rsidRPr="004B3938" w:rsidRDefault="00E820E4" w:rsidP="004B3938">
            <w:pPr>
              <w:jc w:val="both"/>
              <w:rPr>
                <w:rFonts w:ascii="Arial" w:hAnsi="Arial" w:cs="Arial"/>
                <w:b/>
                <w:sz w:val="24"/>
                <w:szCs w:val="24"/>
              </w:rPr>
            </w:pP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p>
        </w:tc>
        <w:tc>
          <w:tcPr>
            <w:tcW w:w="1843" w:type="dxa"/>
          </w:tcPr>
          <w:p w:rsidR="00E820E4" w:rsidRPr="004B3938" w:rsidRDefault="00E820E4" w:rsidP="004B3938">
            <w:pPr>
              <w:jc w:val="both"/>
              <w:rPr>
                <w:rFonts w:ascii="Arial" w:hAnsi="Arial" w:cs="Arial"/>
                <w:b/>
                <w:sz w:val="24"/>
                <w:szCs w:val="24"/>
              </w:rPr>
            </w:pPr>
          </w:p>
        </w:tc>
        <w:tc>
          <w:tcPr>
            <w:tcW w:w="2410" w:type="dxa"/>
          </w:tcPr>
          <w:p w:rsidR="00E820E4" w:rsidRPr="004B3938" w:rsidRDefault="00E820E4" w:rsidP="004B3938">
            <w:pPr>
              <w:jc w:val="both"/>
              <w:rPr>
                <w:rFonts w:ascii="Arial" w:hAnsi="Arial" w:cs="Arial"/>
                <w:b/>
                <w:sz w:val="24"/>
                <w:szCs w:val="24"/>
              </w:rPr>
            </w:pPr>
          </w:p>
        </w:tc>
      </w:tr>
      <w:tr w:rsidR="00E820E4" w:rsidRPr="004B3938" w:rsidTr="00E820E4">
        <w:tc>
          <w:tcPr>
            <w:tcW w:w="2237" w:type="dxa"/>
          </w:tcPr>
          <w:p w:rsidR="00E820E4" w:rsidRPr="004B3938" w:rsidRDefault="004016EB" w:rsidP="004B3938">
            <w:pPr>
              <w:jc w:val="both"/>
              <w:rPr>
                <w:rFonts w:ascii="Arial" w:hAnsi="Arial" w:cs="Arial"/>
                <w:b/>
                <w:sz w:val="24"/>
                <w:szCs w:val="24"/>
              </w:rPr>
            </w:pPr>
            <w:r w:rsidRPr="004B3938">
              <w:rPr>
                <w:rFonts w:ascii="Arial" w:hAnsi="Arial" w:cs="Arial"/>
                <w:b/>
                <w:sz w:val="24"/>
                <w:szCs w:val="24"/>
              </w:rPr>
              <w:t>16 – 18 Success rates</w:t>
            </w:r>
            <w:r w:rsidR="00E820E4" w:rsidRPr="004B3938">
              <w:rPr>
                <w:rFonts w:ascii="Arial" w:hAnsi="Arial" w:cs="Arial"/>
                <w:b/>
                <w:sz w:val="24"/>
                <w:szCs w:val="24"/>
              </w:rPr>
              <w:t>, 2013/ 14</w:t>
            </w: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Level 1</w:t>
            </w:r>
          </w:p>
        </w:tc>
        <w:tc>
          <w:tcPr>
            <w:tcW w:w="1843"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93.6%</w:t>
            </w:r>
          </w:p>
        </w:tc>
        <w:tc>
          <w:tcPr>
            <w:tcW w:w="2410"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84.8%</w:t>
            </w: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Level 2</w:t>
            </w:r>
          </w:p>
        </w:tc>
        <w:tc>
          <w:tcPr>
            <w:tcW w:w="1843"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89.4%</w:t>
            </w:r>
          </w:p>
        </w:tc>
        <w:tc>
          <w:tcPr>
            <w:tcW w:w="2410"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89.3%</w:t>
            </w: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Level 3</w:t>
            </w:r>
          </w:p>
        </w:tc>
        <w:tc>
          <w:tcPr>
            <w:tcW w:w="1843"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95.0%</w:t>
            </w:r>
          </w:p>
        </w:tc>
        <w:tc>
          <w:tcPr>
            <w:tcW w:w="2410"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95.0%</w:t>
            </w:r>
          </w:p>
        </w:tc>
      </w:tr>
      <w:tr w:rsidR="00E820E4" w:rsidRPr="004B3938" w:rsidTr="00E820E4">
        <w:tc>
          <w:tcPr>
            <w:tcW w:w="2237" w:type="dxa"/>
          </w:tcPr>
          <w:p w:rsidR="00E820E4" w:rsidRPr="004B3938" w:rsidRDefault="00E820E4" w:rsidP="004B3938">
            <w:pPr>
              <w:jc w:val="both"/>
              <w:rPr>
                <w:rFonts w:ascii="Arial" w:hAnsi="Arial" w:cs="Arial"/>
                <w:b/>
                <w:sz w:val="24"/>
                <w:szCs w:val="24"/>
              </w:rPr>
            </w:pPr>
          </w:p>
        </w:tc>
        <w:tc>
          <w:tcPr>
            <w:tcW w:w="1869"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All</w:t>
            </w:r>
          </w:p>
        </w:tc>
        <w:tc>
          <w:tcPr>
            <w:tcW w:w="1843"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90.9%</w:t>
            </w:r>
          </w:p>
        </w:tc>
        <w:tc>
          <w:tcPr>
            <w:tcW w:w="2410" w:type="dxa"/>
          </w:tcPr>
          <w:p w:rsidR="00E820E4" w:rsidRPr="004B3938" w:rsidRDefault="00E820E4" w:rsidP="004B3938">
            <w:pPr>
              <w:jc w:val="both"/>
              <w:rPr>
                <w:rFonts w:ascii="Arial" w:hAnsi="Arial" w:cs="Arial"/>
                <w:b/>
                <w:sz w:val="24"/>
                <w:szCs w:val="24"/>
              </w:rPr>
            </w:pPr>
            <w:r w:rsidRPr="004B3938">
              <w:rPr>
                <w:rFonts w:ascii="Arial" w:hAnsi="Arial" w:cs="Arial"/>
                <w:b/>
                <w:sz w:val="24"/>
                <w:szCs w:val="24"/>
              </w:rPr>
              <w:t>88.6%</w:t>
            </w:r>
          </w:p>
        </w:tc>
      </w:tr>
    </w:tbl>
    <w:p w:rsidR="008336E5" w:rsidRPr="004B3938" w:rsidRDefault="008336E5" w:rsidP="004B3938">
      <w:pPr>
        <w:spacing w:after="0" w:line="240" w:lineRule="auto"/>
        <w:jc w:val="both"/>
        <w:rPr>
          <w:rFonts w:ascii="Arial" w:hAnsi="Arial" w:cs="Arial"/>
          <w:b/>
          <w:sz w:val="24"/>
          <w:szCs w:val="24"/>
        </w:rPr>
      </w:pPr>
    </w:p>
    <w:p w:rsidR="004E58E4" w:rsidRDefault="004E58E4" w:rsidP="004B3938">
      <w:pPr>
        <w:spacing w:after="0" w:line="240" w:lineRule="auto"/>
        <w:jc w:val="both"/>
        <w:rPr>
          <w:rFonts w:ascii="Arial" w:hAnsi="Arial" w:cs="Arial"/>
          <w:sz w:val="24"/>
          <w:szCs w:val="24"/>
        </w:rPr>
      </w:pPr>
      <w:r w:rsidRPr="004B3938">
        <w:rPr>
          <w:rFonts w:ascii="Arial" w:hAnsi="Arial" w:cs="Arial"/>
          <w:sz w:val="24"/>
          <w:szCs w:val="24"/>
        </w:rPr>
        <w:t>In recent years the government has raised the age for participating in educati</w:t>
      </w:r>
      <w:r w:rsidR="00F97119" w:rsidRPr="004B3938">
        <w:rPr>
          <w:rFonts w:ascii="Arial" w:hAnsi="Arial" w:cs="Arial"/>
          <w:sz w:val="24"/>
          <w:szCs w:val="24"/>
        </w:rPr>
        <w:t>on or training from 16 to 17 at the moment</w:t>
      </w:r>
      <w:r w:rsidRPr="004B3938">
        <w:rPr>
          <w:rFonts w:ascii="Arial" w:hAnsi="Arial" w:cs="Arial"/>
          <w:sz w:val="24"/>
          <w:szCs w:val="24"/>
        </w:rPr>
        <w:t xml:space="preserve"> and 18 for the next academic year. All FE colleges work hard to provide an enticing range of op</w:t>
      </w:r>
      <w:r w:rsidR="00CA16AF" w:rsidRPr="004B3938">
        <w:rPr>
          <w:rFonts w:ascii="Arial" w:hAnsi="Arial" w:cs="Arial"/>
          <w:sz w:val="24"/>
          <w:szCs w:val="24"/>
        </w:rPr>
        <w:t>tions for study and training</w:t>
      </w:r>
      <w:r w:rsidRPr="004B3938">
        <w:rPr>
          <w:rFonts w:ascii="Arial" w:hAnsi="Arial" w:cs="Arial"/>
          <w:sz w:val="24"/>
          <w:szCs w:val="24"/>
        </w:rPr>
        <w:t xml:space="preserve"> that meet the needs of young people and the 21</w:t>
      </w:r>
      <w:r w:rsidRPr="004B3938">
        <w:rPr>
          <w:rFonts w:ascii="Arial" w:hAnsi="Arial" w:cs="Arial"/>
          <w:sz w:val="24"/>
          <w:szCs w:val="24"/>
          <w:vertAlign w:val="superscript"/>
        </w:rPr>
        <w:t>st</w:t>
      </w:r>
      <w:r w:rsidRPr="004B3938">
        <w:rPr>
          <w:rFonts w:ascii="Arial" w:hAnsi="Arial" w:cs="Arial"/>
          <w:sz w:val="24"/>
          <w:szCs w:val="24"/>
        </w:rPr>
        <w:t xml:space="preserve"> century world of work.</w:t>
      </w:r>
      <w:r w:rsidR="006104D9" w:rsidRPr="004B3938">
        <w:rPr>
          <w:rFonts w:ascii="Arial" w:hAnsi="Arial" w:cs="Arial"/>
          <w:sz w:val="24"/>
          <w:szCs w:val="24"/>
        </w:rPr>
        <w:t xml:space="preserve"> We </w:t>
      </w:r>
      <w:r w:rsidR="00CA16AF" w:rsidRPr="004B3938">
        <w:rPr>
          <w:rFonts w:ascii="Arial" w:hAnsi="Arial" w:cs="Arial"/>
          <w:sz w:val="24"/>
          <w:szCs w:val="24"/>
        </w:rPr>
        <w:t xml:space="preserve">also </w:t>
      </w:r>
      <w:r w:rsidR="006104D9" w:rsidRPr="004B3938">
        <w:rPr>
          <w:rFonts w:ascii="Arial" w:hAnsi="Arial" w:cs="Arial"/>
          <w:sz w:val="24"/>
          <w:szCs w:val="24"/>
        </w:rPr>
        <w:t xml:space="preserve">work hard to minimise the number of young people who are NEET (Not engaged in education employment and training.) We make full use of European funding to </w:t>
      </w:r>
      <w:r w:rsidR="00CA16AF" w:rsidRPr="004B3938">
        <w:rPr>
          <w:rFonts w:ascii="Arial" w:hAnsi="Arial" w:cs="Arial"/>
          <w:sz w:val="24"/>
          <w:szCs w:val="24"/>
        </w:rPr>
        <w:t>provide courses that either prevent</w:t>
      </w:r>
      <w:r w:rsidR="006104D9" w:rsidRPr="004B3938">
        <w:rPr>
          <w:rFonts w:ascii="Arial" w:hAnsi="Arial" w:cs="Arial"/>
          <w:sz w:val="24"/>
          <w:szCs w:val="24"/>
        </w:rPr>
        <w:t xml:space="preserve"> young people from becoming NEET in the first place or to help them into education, employment or training if they are already NEET.</w:t>
      </w:r>
    </w:p>
    <w:p w:rsidR="004B3938" w:rsidRPr="004B3938" w:rsidRDefault="004B3938" w:rsidP="004B3938">
      <w:pPr>
        <w:spacing w:after="0" w:line="240" w:lineRule="auto"/>
        <w:jc w:val="both"/>
        <w:rPr>
          <w:rFonts w:ascii="Arial" w:hAnsi="Arial" w:cs="Arial"/>
          <w:sz w:val="24"/>
          <w:szCs w:val="24"/>
        </w:rPr>
      </w:pPr>
    </w:p>
    <w:p w:rsidR="004E58E4" w:rsidRDefault="004E58E4" w:rsidP="004B3938">
      <w:pPr>
        <w:pStyle w:val="ListParagraph"/>
        <w:numPr>
          <w:ilvl w:val="0"/>
          <w:numId w:val="1"/>
        </w:numPr>
        <w:spacing w:after="0" w:line="240" w:lineRule="auto"/>
        <w:ind w:left="567" w:hanging="567"/>
        <w:jc w:val="both"/>
        <w:rPr>
          <w:rFonts w:ascii="Arial" w:hAnsi="Arial" w:cs="Arial"/>
          <w:b/>
          <w:sz w:val="24"/>
          <w:szCs w:val="24"/>
        </w:rPr>
      </w:pPr>
      <w:r w:rsidRPr="004B3938">
        <w:rPr>
          <w:rFonts w:ascii="Arial" w:hAnsi="Arial" w:cs="Arial"/>
          <w:b/>
          <w:sz w:val="24"/>
          <w:szCs w:val="24"/>
        </w:rPr>
        <w:t>Progression to Jobs and Higher Education</w:t>
      </w:r>
    </w:p>
    <w:p w:rsidR="004B3938" w:rsidRPr="004B3938" w:rsidRDefault="004B3938" w:rsidP="004B3938">
      <w:pPr>
        <w:pStyle w:val="ListParagraph"/>
        <w:spacing w:after="0" w:line="240" w:lineRule="auto"/>
        <w:ind w:left="567"/>
        <w:jc w:val="both"/>
        <w:rPr>
          <w:rFonts w:ascii="Arial" w:hAnsi="Arial" w:cs="Arial"/>
          <w:b/>
          <w:sz w:val="24"/>
          <w:szCs w:val="24"/>
        </w:rPr>
      </w:pPr>
    </w:p>
    <w:p w:rsidR="004E58E4" w:rsidRDefault="00F97119" w:rsidP="004B3938">
      <w:pPr>
        <w:spacing w:after="0" w:line="240" w:lineRule="auto"/>
        <w:jc w:val="both"/>
        <w:rPr>
          <w:rFonts w:ascii="Arial" w:hAnsi="Arial" w:cs="Arial"/>
          <w:sz w:val="24"/>
          <w:szCs w:val="24"/>
        </w:rPr>
      </w:pPr>
      <w:r w:rsidRPr="004B3938">
        <w:rPr>
          <w:rFonts w:ascii="Arial" w:hAnsi="Arial" w:cs="Arial"/>
          <w:sz w:val="24"/>
          <w:szCs w:val="24"/>
        </w:rPr>
        <w:t>What young people want are</w:t>
      </w:r>
      <w:r w:rsidR="004E58E4" w:rsidRPr="004B3938">
        <w:rPr>
          <w:rFonts w:ascii="Arial" w:hAnsi="Arial" w:cs="Arial"/>
          <w:sz w:val="24"/>
          <w:szCs w:val="24"/>
        </w:rPr>
        <w:t xml:space="preserve"> the education and skills to enable them to get into the employment sector they aspire to or to</w:t>
      </w:r>
      <w:r w:rsidR="009D5EA3" w:rsidRPr="004B3938">
        <w:rPr>
          <w:rFonts w:ascii="Arial" w:hAnsi="Arial" w:cs="Arial"/>
          <w:sz w:val="24"/>
          <w:szCs w:val="24"/>
        </w:rPr>
        <w:t xml:space="preserve"> go to university and join</w:t>
      </w:r>
      <w:r w:rsidR="004E58E4" w:rsidRPr="004B3938">
        <w:rPr>
          <w:rFonts w:ascii="Arial" w:hAnsi="Arial" w:cs="Arial"/>
          <w:sz w:val="24"/>
          <w:szCs w:val="24"/>
        </w:rPr>
        <w:t xml:space="preserve"> the labour market later.</w:t>
      </w:r>
      <w:r w:rsidR="00F7604D" w:rsidRPr="004B3938">
        <w:rPr>
          <w:rFonts w:ascii="Arial" w:hAnsi="Arial" w:cs="Arial"/>
          <w:sz w:val="24"/>
          <w:szCs w:val="24"/>
        </w:rPr>
        <w:t xml:space="preserve"> </w:t>
      </w:r>
      <w:r w:rsidR="00F158CD" w:rsidRPr="004B3938">
        <w:rPr>
          <w:rFonts w:ascii="Arial" w:hAnsi="Arial" w:cs="Arial"/>
          <w:sz w:val="24"/>
          <w:szCs w:val="24"/>
        </w:rPr>
        <w:t>The Lancashire Colleges funded a £40,000</w:t>
      </w:r>
      <w:r w:rsidR="00F7604D" w:rsidRPr="004B3938">
        <w:rPr>
          <w:rFonts w:ascii="Arial" w:hAnsi="Arial" w:cs="Arial"/>
          <w:sz w:val="24"/>
          <w:szCs w:val="24"/>
        </w:rPr>
        <w:t xml:space="preserve"> research study</w:t>
      </w:r>
      <w:r w:rsidR="00546C09" w:rsidRPr="004B3938">
        <w:rPr>
          <w:rFonts w:ascii="Arial" w:hAnsi="Arial" w:cs="Arial"/>
          <w:sz w:val="24"/>
          <w:szCs w:val="24"/>
        </w:rPr>
        <w:t xml:space="preserve"> into some of the priority</w:t>
      </w:r>
      <w:r w:rsidR="007C147B" w:rsidRPr="004B3938">
        <w:rPr>
          <w:rFonts w:ascii="Arial" w:hAnsi="Arial" w:cs="Arial"/>
          <w:sz w:val="24"/>
          <w:szCs w:val="24"/>
        </w:rPr>
        <w:t xml:space="preserve"> </w:t>
      </w:r>
      <w:r w:rsidR="00546C09" w:rsidRPr="004B3938">
        <w:rPr>
          <w:rFonts w:ascii="Arial" w:hAnsi="Arial" w:cs="Arial"/>
          <w:sz w:val="24"/>
          <w:szCs w:val="24"/>
        </w:rPr>
        <w:t>local employment sectors</w:t>
      </w:r>
      <w:r w:rsidR="007C147B" w:rsidRPr="004B3938">
        <w:rPr>
          <w:rFonts w:ascii="Arial" w:hAnsi="Arial" w:cs="Arial"/>
          <w:sz w:val="24"/>
          <w:szCs w:val="24"/>
        </w:rPr>
        <w:t xml:space="preserve"> including advanced engineering &amp; manufacturing, health &amp; social care, financial &amp; professional services, tourism, energy &amp; the environment, construction and the creative, digital &amp; media sector. We track these sectors to see </w:t>
      </w:r>
      <w:r w:rsidR="007C147B" w:rsidRPr="004B3938">
        <w:rPr>
          <w:rFonts w:ascii="Arial" w:hAnsi="Arial" w:cs="Arial"/>
          <w:sz w:val="24"/>
          <w:szCs w:val="24"/>
        </w:rPr>
        <w:lastRenderedPageBreak/>
        <w:t xml:space="preserve">where skill shortages are emerging and how </w:t>
      </w:r>
      <w:r w:rsidR="00F7604D" w:rsidRPr="004B3938">
        <w:rPr>
          <w:rFonts w:ascii="Arial" w:hAnsi="Arial" w:cs="Arial"/>
          <w:sz w:val="24"/>
          <w:szCs w:val="24"/>
        </w:rPr>
        <w:t>we can evolve</w:t>
      </w:r>
      <w:r w:rsidR="007C147B" w:rsidRPr="004B3938">
        <w:rPr>
          <w:rFonts w:ascii="Arial" w:hAnsi="Arial" w:cs="Arial"/>
          <w:sz w:val="24"/>
          <w:szCs w:val="24"/>
        </w:rPr>
        <w:t xml:space="preserve"> ou</w:t>
      </w:r>
      <w:r w:rsidR="00C31A60" w:rsidRPr="004B3938">
        <w:rPr>
          <w:rFonts w:ascii="Arial" w:hAnsi="Arial" w:cs="Arial"/>
          <w:sz w:val="24"/>
          <w:szCs w:val="24"/>
        </w:rPr>
        <w:t>r courses so they best meet the</w:t>
      </w:r>
      <w:r w:rsidR="00F158CD" w:rsidRPr="004B3938">
        <w:rPr>
          <w:rFonts w:ascii="Arial" w:hAnsi="Arial" w:cs="Arial"/>
          <w:sz w:val="24"/>
          <w:szCs w:val="24"/>
        </w:rPr>
        <w:t xml:space="preserve"> </w:t>
      </w:r>
      <w:r w:rsidR="00F7604D" w:rsidRPr="004B3938">
        <w:rPr>
          <w:rFonts w:ascii="Arial" w:hAnsi="Arial" w:cs="Arial"/>
          <w:sz w:val="24"/>
          <w:szCs w:val="24"/>
        </w:rPr>
        <w:t>needs of employers</w:t>
      </w:r>
      <w:r w:rsidR="007C147B" w:rsidRPr="004B3938">
        <w:rPr>
          <w:rFonts w:ascii="Arial" w:hAnsi="Arial" w:cs="Arial"/>
          <w:sz w:val="24"/>
          <w:szCs w:val="24"/>
        </w:rPr>
        <w:t>.</w:t>
      </w:r>
    </w:p>
    <w:p w:rsidR="004B3938" w:rsidRPr="004B3938" w:rsidRDefault="004B3938" w:rsidP="004B3938">
      <w:pPr>
        <w:spacing w:after="0" w:line="240" w:lineRule="auto"/>
        <w:jc w:val="both"/>
        <w:rPr>
          <w:rFonts w:ascii="Arial" w:hAnsi="Arial" w:cs="Arial"/>
          <w:sz w:val="24"/>
          <w:szCs w:val="24"/>
        </w:rPr>
      </w:pPr>
    </w:p>
    <w:p w:rsidR="006104D9" w:rsidRDefault="006104D9" w:rsidP="004B3938">
      <w:pPr>
        <w:spacing w:after="0" w:line="240" w:lineRule="auto"/>
        <w:jc w:val="both"/>
        <w:rPr>
          <w:rFonts w:ascii="Arial" w:hAnsi="Arial" w:cs="Arial"/>
          <w:sz w:val="24"/>
          <w:szCs w:val="24"/>
        </w:rPr>
      </w:pPr>
      <w:r w:rsidRPr="004B3938">
        <w:rPr>
          <w:rFonts w:ascii="Arial" w:hAnsi="Arial" w:cs="Arial"/>
          <w:sz w:val="24"/>
          <w:szCs w:val="24"/>
        </w:rPr>
        <w:t>Apprenticeships are an increasingly popular and reliable method for managing the bridge between education and work.</w:t>
      </w:r>
      <w:r w:rsidR="008A4141" w:rsidRPr="004B3938">
        <w:rPr>
          <w:rFonts w:ascii="Arial" w:hAnsi="Arial" w:cs="Arial"/>
          <w:sz w:val="24"/>
          <w:szCs w:val="24"/>
        </w:rPr>
        <w:t xml:space="preserve"> 16 – 18 year olds make up 1,910 (38%) of the 5,070 apprentices in FE across Lancashire.</w:t>
      </w:r>
      <w:r w:rsidR="00357CE5" w:rsidRPr="004B3938">
        <w:rPr>
          <w:rFonts w:ascii="Arial" w:hAnsi="Arial" w:cs="Arial"/>
          <w:sz w:val="24"/>
          <w:szCs w:val="24"/>
        </w:rPr>
        <w:t xml:space="preserve"> FE is responsible for 38% of all the apprenticeships on offer across Lancs. The rest are largely delivered by private training providers.</w:t>
      </w:r>
    </w:p>
    <w:p w:rsidR="004B3938" w:rsidRPr="004B3938" w:rsidRDefault="004B3938" w:rsidP="004B3938">
      <w:pPr>
        <w:spacing w:after="0" w:line="240" w:lineRule="auto"/>
        <w:jc w:val="both"/>
        <w:rPr>
          <w:rFonts w:ascii="Arial" w:hAnsi="Arial" w:cs="Arial"/>
          <w:sz w:val="24"/>
          <w:szCs w:val="24"/>
        </w:rPr>
      </w:pPr>
    </w:p>
    <w:p w:rsidR="00636ACB" w:rsidRDefault="00636ACB" w:rsidP="004B3938">
      <w:pPr>
        <w:spacing w:after="0" w:line="240" w:lineRule="auto"/>
        <w:jc w:val="both"/>
        <w:rPr>
          <w:rFonts w:ascii="Arial" w:hAnsi="Arial" w:cs="Arial"/>
          <w:sz w:val="24"/>
          <w:szCs w:val="24"/>
        </w:rPr>
      </w:pPr>
      <w:r w:rsidRPr="004B3938">
        <w:rPr>
          <w:rFonts w:ascii="Arial" w:hAnsi="Arial" w:cs="Arial"/>
          <w:sz w:val="24"/>
          <w:szCs w:val="24"/>
        </w:rPr>
        <w:t xml:space="preserve">FE in Lancashire is unusual because of the amount of higher education </w:t>
      </w:r>
      <w:r w:rsidR="00E6641A" w:rsidRPr="004B3938">
        <w:rPr>
          <w:rFonts w:ascii="Arial" w:hAnsi="Arial" w:cs="Arial"/>
          <w:sz w:val="24"/>
          <w:szCs w:val="24"/>
        </w:rPr>
        <w:t>on offer</w:t>
      </w:r>
      <w:r w:rsidRPr="004B3938">
        <w:rPr>
          <w:rFonts w:ascii="Arial" w:hAnsi="Arial" w:cs="Arial"/>
          <w:sz w:val="24"/>
          <w:szCs w:val="24"/>
        </w:rPr>
        <w:t>. Two colleges in our sub-region are amongst the top four providers nationally of higher education in further education.</w:t>
      </w:r>
      <w:r w:rsidR="007F5F73" w:rsidRPr="004B3938">
        <w:rPr>
          <w:rFonts w:ascii="Arial" w:hAnsi="Arial" w:cs="Arial"/>
          <w:sz w:val="24"/>
          <w:szCs w:val="24"/>
        </w:rPr>
        <w:t xml:space="preserve"> </w:t>
      </w:r>
      <w:r w:rsidR="00B22A66" w:rsidRPr="004B3938">
        <w:rPr>
          <w:rFonts w:ascii="Arial" w:hAnsi="Arial" w:cs="Arial"/>
          <w:sz w:val="24"/>
          <w:szCs w:val="24"/>
        </w:rPr>
        <w:t xml:space="preserve">4,400 young people progress from local colleges to higher education every year. </w:t>
      </w:r>
      <w:r w:rsidR="007F5F73" w:rsidRPr="004B3938">
        <w:rPr>
          <w:rFonts w:ascii="Arial" w:hAnsi="Arial" w:cs="Arial"/>
          <w:sz w:val="24"/>
          <w:szCs w:val="24"/>
        </w:rPr>
        <w:t>We work with the Skills Board of the LEP and its Skills Hub to ensure tha</w:t>
      </w:r>
      <w:r w:rsidR="00551EE0" w:rsidRPr="004B3938">
        <w:rPr>
          <w:rFonts w:ascii="Arial" w:hAnsi="Arial" w:cs="Arial"/>
          <w:sz w:val="24"/>
          <w:szCs w:val="24"/>
        </w:rPr>
        <w:t>t the education and training we provide</w:t>
      </w:r>
      <w:r w:rsidR="007F5F73" w:rsidRPr="004B3938">
        <w:rPr>
          <w:rFonts w:ascii="Arial" w:hAnsi="Arial" w:cs="Arial"/>
          <w:sz w:val="24"/>
          <w:szCs w:val="24"/>
        </w:rPr>
        <w:t xml:space="preserve"> is as responsive as possible to the changing needs of local employers</w:t>
      </w:r>
      <w:r w:rsidR="006104D9" w:rsidRPr="004B3938">
        <w:rPr>
          <w:rFonts w:ascii="Arial" w:hAnsi="Arial" w:cs="Arial"/>
          <w:sz w:val="24"/>
          <w:szCs w:val="24"/>
        </w:rPr>
        <w:t>.</w:t>
      </w:r>
      <w:r w:rsidR="00F24AF3" w:rsidRPr="004B3938">
        <w:rPr>
          <w:rFonts w:ascii="Arial" w:hAnsi="Arial" w:cs="Arial"/>
          <w:sz w:val="24"/>
          <w:szCs w:val="24"/>
        </w:rPr>
        <w:t xml:space="preserve"> Between them the Lancashire Colleges provide over 140 different Foundation Degrees which represents an excellent progression </w:t>
      </w:r>
      <w:r w:rsidR="00465E03" w:rsidRPr="004B3938">
        <w:rPr>
          <w:rFonts w:ascii="Arial" w:hAnsi="Arial" w:cs="Arial"/>
          <w:sz w:val="24"/>
          <w:szCs w:val="24"/>
        </w:rPr>
        <w:t xml:space="preserve">route </w:t>
      </w:r>
      <w:r w:rsidR="00F24AF3" w:rsidRPr="004B3938">
        <w:rPr>
          <w:rFonts w:ascii="Arial" w:hAnsi="Arial" w:cs="Arial"/>
          <w:sz w:val="24"/>
          <w:szCs w:val="24"/>
        </w:rPr>
        <w:t>at 18. Most people studying Foundation Degrees are employed and their studies are improving their promotion prospects.</w:t>
      </w:r>
      <w:r w:rsidR="00484FE5" w:rsidRPr="004B3938">
        <w:rPr>
          <w:rFonts w:ascii="Arial" w:hAnsi="Arial" w:cs="Arial"/>
          <w:sz w:val="24"/>
          <w:szCs w:val="24"/>
        </w:rPr>
        <w:t xml:space="preserve"> We work in partnership with employers large and small in all sectors to deliver high quality apprenticeship for young people to help them get on in today’s fast changing labour markets.</w:t>
      </w:r>
    </w:p>
    <w:p w:rsidR="004B3938" w:rsidRPr="004B3938" w:rsidRDefault="004B3938" w:rsidP="004B3938">
      <w:pPr>
        <w:spacing w:after="0" w:line="240" w:lineRule="auto"/>
        <w:jc w:val="both"/>
        <w:rPr>
          <w:rFonts w:ascii="Arial" w:hAnsi="Arial" w:cs="Arial"/>
          <w:sz w:val="24"/>
          <w:szCs w:val="24"/>
        </w:rPr>
      </w:pPr>
    </w:p>
    <w:p w:rsidR="00887137" w:rsidRDefault="00887137" w:rsidP="004B3938">
      <w:pPr>
        <w:pStyle w:val="ListParagraph"/>
        <w:numPr>
          <w:ilvl w:val="0"/>
          <w:numId w:val="1"/>
        </w:numPr>
        <w:spacing w:after="0" w:line="240" w:lineRule="auto"/>
        <w:ind w:left="567" w:hanging="567"/>
        <w:jc w:val="both"/>
        <w:rPr>
          <w:rFonts w:ascii="Arial" w:hAnsi="Arial" w:cs="Arial"/>
          <w:b/>
          <w:sz w:val="24"/>
          <w:szCs w:val="24"/>
        </w:rPr>
      </w:pPr>
      <w:r w:rsidRPr="004B3938">
        <w:rPr>
          <w:rFonts w:ascii="Arial" w:hAnsi="Arial" w:cs="Arial"/>
          <w:b/>
          <w:sz w:val="24"/>
          <w:szCs w:val="24"/>
        </w:rPr>
        <w:t>Summary</w:t>
      </w:r>
    </w:p>
    <w:p w:rsidR="004B3938" w:rsidRPr="004B3938" w:rsidRDefault="004B3938" w:rsidP="004B3938">
      <w:pPr>
        <w:pStyle w:val="ListParagraph"/>
        <w:spacing w:after="0" w:line="240" w:lineRule="auto"/>
        <w:ind w:left="567"/>
        <w:jc w:val="both"/>
        <w:rPr>
          <w:rFonts w:ascii="Arial" w:hAnsi="Arial" w:cs="Arial"/>
          <w:b/>
          <w:sz w:val="24"/>
          <w:szCs w:val="24"/>
        </w:rPr>
      </w:pPr>
    </w:p>
    <w:p w:rsidR="00887137" w:rsidRPr="004B3938" w:rsidRDefault="00F90D1F"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 xml:space="preserve"> </w:t>
      </w:r>
      <w:r w:rsidR="00887137" w:rsidRPr="004B3938">
        <w:rPr>
          <w:rFonts w:ascii="Arial" w:hAnsi="Arial" w:cs="Arial"/>
          <w:sz w:val="24"/>
          <w:szCs w:val="24"/>
        </w:rPr>
        <w:t>There are nine FE colleges in Lancashire</w:t>
      </w:r>
    </w:p>
    <w:p w:rsidR="00887137" w:rsidRPr="004B3938" w:rsidRDefault="00F90D1F"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 xml:space="preserve"> </w:t>
      </w:r>
      <w:r w:rsidR="00887137" w:rsidRPr="004B3938">
        <w:rPr>
          <w:rFonts w:ascii="Arial" w:hAnsi="Arial" w:cs="Arial"/>
          <w:sz w:val="24"/>
          <w:szCs w:val="24"/>
        </w:rPr>
        <w:t xml:space="preserve">Across Lancashire 83% of 16 – 18 year olds are in FE </w:t>
      </w:r>
      <w:r w:rsidR="0031358C" w:rsidRPr="004B3938">
        <w:rPr>
          <w:rFonts w:ascii="Arial" w:hAnsi="Arial" w:cs="Arial"/>
          <w:sz w:val="24"/>
          <w:szCs w:val="24"/>
        </w:rPr>
        <w:t xml:space="preserve">colleges </w:t>
      </w:r>
      <w:r w:rsidR="00EC6352" w:rsidRPr="004B3938">
        <w:rPr>
          <w:rFonts w:ascii="Arial" w:hAnsi="Arial" w:cs="Arial"/>
          <w:sz w:val="24"/>
          <w:szCs w:val="24"/>
        </w:rPr>
        <w:t>rather than in school s</w:t>
      </w:r>
      <w:r w:rsidR="00887137" w:rsidRPr="004B3938">
        <w:rPr>
          <w:rFonts w:ascii="Arial" w:hAnsi="Arial" w:cs="Arial"/>
          <w:sz w:val="24"/>
          <w:szCs w:val="24"/>
        </w:rPr>
        <w:t xml:space="preserve">ixth </w:t>
      </w:r>
      <w:r w:rsidR="00EC6352" w:rsidRPr="004B3938">
        <w:rPr>
          <w:rFonts w:ascii="Arial" w:hAnsi="Arial" w:cs="Arial"/>
          <w:sz w:val="24"/>
          <w:szCs w:val="24"/>
        </w:rPr>
        <w:t>f</w:t>
      </w:r>
      <w:r w:rsidR="00887137" w:rsidRPr="004B3938">
        <w:rPr>
          <w:rFonts w:ascii="Arial" w:hAnsi="Arial" w:cs="Arial"/>
          <w:sz w:val="24"/>
          <w:szCs w:val="24"/>
        </w:rPr>
        <w:t>orms</w:t>
      </w:r>
    </w:p>
    <w:p w:rsidR="00887137" w:rsidRPr="004B3938" w:rsidRDefault="00F90D1F" w:rsidP="004B3938">
      <w:pPr>
        <w:pStyle w:val="ListParagraph"/>
        <w:numPr>
          <w:ilvl w:val="1"/>
          <w:numId w:val="1"/>
        </w:numPr>
        <w:spacing w:after="0" w:line="240" w:lineRule="auto"/>
        <w:ind w:left="709"/>
        <w:jc w:val="both"/>
        <w:rPr>
          <w:rFonts w:ascii="Arial" w:hAnsi="Arial" w:cs="Arial"/>
          <w:sz w:val="24"/>
          <w:szCs w:val="24"/>
        </w:rPr>
      </w:pPr>
      <w:r w:rsidRPr="004B3938">
        <w:rPr>
          <w:rFonts w:ascii="Arial" w:hAnsi="Arial" w:cs="Arial"/>
          <w:sz w:val="24"/>
          <w:szCs w:val="24"/>
        </w:rPr>
        <w:t xml:space="preserve"> </w:t>
      </w:r>
      <w:r w:rsidR="00887137" w:rsidRPr="004B3938">
        <w:rPr>
          <w:rFonts w:ascii="Arial" w:hAnsi="Arial" w:cs="Arial"/>
          <w:sz w:val="24"/>
          <w:szCs w:val="24"/>
        </w:rPr>
        <w:t>All local colleges in have been assessed by Ofsted as ‘</w:t>
      </w:r>
      <w:r w:rsidR="005539C8">
        <w:rPr>
          <w:rFonts w:ascii="Arial" w:hAnsi="Arial" w:cs="Arial"/>
          <w:sz w:val="24"/>
          <w:szCs w:val="24"/>
        </w:rPr>
        <w:t xml:space="preserve">Outstanding’ or ‘Good’ enabling.  </w:t>
      </w:r>
      <w:r w:rsidR="00887137" w:rsidRPr="004B3938">
        <w:rPr>
          <w:rFonts w:ascii="Arial" w:hAnsi="Arial" w:cs="Arial"/>
          <w:sz w:val="24"/>
          <w:szCs w:val="24"/>
        </w:rPr>
        <w:t>Lancashire to have the widest incidence of excellence in FE across England.</w:t>
      </w:r>
    </w:p>
    <w:p w:rsidR="00887137" w:rsidRPr="004B3938" w:rsidRDefault="000B282E"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Local FE colleges provide a full range of academic &amp; vocational courses from entry level to advanced level with Myerscough College focusing on land based &amp; rural provision and Cardinal Newman as a Sixth Form College specialising in A Levels.</w:t>
      </w:r>
    </w:p>
    <w:p w:rsidR="00C62869" w:rsidRPr="004B3938" w:rsidRDefault="006810B0"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 xml:space="preserve">All </w:t>
      </w:r>
      <w:r w:rsidR="00C62869" w:rsidRPr="004B3938">
        <w:rPr>
          <w:rFonts w:ascii="Arial" w:hAnsi="Arial" w:cs="Arial"/>
          <w:sz w:val="24"/>
          <w:szCs w:val="24"/>
        </w:rPr>
        <w:t>colleges provide a full range courses for young people aged 16 – 25 with special needs.</w:t>
      </w:r>
    </w:p>
    <w:p w:rsidR="00C62869" w:rsidRPr="004B3938" w:rsidRDefault="00C62869"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FE colleges across Lancs focus on getting young people into higher education or employment.</w:t>
      </w:r>
    </w:p>
    <w:p w:rsidR="005C60AF" w:rsidRPr="004B3938" w:rsidRDefault="00C62869"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 xml:space="preserve">The FE sector across Lancs is surprisingly large with an annual income of </w:t>
      </w:r>
      <w:r w:rsidR="0031358C" w:rsidRPr="004B3938">
        <w:rPr>
          <w:rFonts w:ascii="Arial" w:hAnsi="Arial" w:cs="Arial"/>
          <w:sz w:val="24"/>
          <w:szCs w:val="24"/>
        </w:rPr>
        <w:t>£183m &amp;</w:t>
      </w:r>
      <w:r w:rsidR="00CE2EC0" w:rsidRPr="004B3938">
        <w:rPr>
          <w:rFonts w:ascii="Arial" w:hAnsi="Arial" w:cs="Arial"/>
          <w:sz w:val="24"/>
          <w:szCs w:val="24"/>
        </w:rPr>
        <w:t xml:space="preserve"> over 4</w:t>
      </w:r>
      <w:r w:rsidR="005C60AF" w:rsidRPr="004B3938">
        <w:rPr>
          <w:rFonts w:ascii="Arial" w:hAnsi="Arial" w:cs="Arial"/>
          <w:sz w:val="24"/>
          <w:szCs w:val="24"/>
        </w:rPr>
        <w:t>,300 staff</w:t>
      </w:r>
      <w:r w:rsidR="0031358C" w:rsidRPr="004B3938">
        <w:rPr>
          <w:rFonts w:ascii="Arial" w:hAnsi="Arial" w:cs="Arial"/>
          <w:sz w:val="24"/>
          <w:szCs w:val="24"/>
        </w:rPr>
        <w:t xml:space="preserve">. Local colleges </w:t>
      </w:r>
      <w:r w:rsidR="00420625" w:rsidRPr="004B3938">
        <w:rPr>
          <w:rFonts w:ascii="Arial" w:hAnsi="Arial" w:cs="Arial"/>
          <w:sz w:val="24"/>
          <w:szCs w:val="24"/>
        </w:rPr>
        <w:t>have strong relationships with employers to</w:t>
      </w:r>
      <w:r w:rsidR="0031358C" w:rsidRPr="004B3938">
        <w:rPr>
          <w:rFonts w:ascii="Arial" w:hAnsi="Arial" w:cs="Arial"/>
          <w:sz w:val="24"/>
          <w:szCs w:val="24"/>
        </w:rPr>
        <w:t xml:space="preserve"> </w:t>
      </w:r>
      <w:r w:rsidR="005C60AF" w:rsidRPr="004B3938">
        <w:rPr>
          <w:rFonts w:ascii="Arial" w:hAnsi="Arial" w:cs="Arial"/>
          <w:sz w:val="24"/>
          <w:szCs w:val="24"/>
        </w:rPr>
        <w:t>help</w:t>
      </w:r>
      <w:r w:rsidR="0031358C" w:rsidRPr="004B3938">
        <w:rPr>
          <w:rFonts w:ascii="Arial" w:hAnsi="Arial" w:cs="Arial"/>
          <w:sz w:val="24"/>
          <w:szCs w:val="24"/>
        </w:rPr>
        <w:t>ing raise the productivity of 7</w:t>
      </w:r>
      <w:r w:rsidR="005C60AF" w:rsidRPr="004B3938">
        <w:rPr>
          <w:rFonts w:ascii="Arial" w:hAnsi="Arial" w:cs="Arial"/>
          <w:sz w:val="24"/>
          <w:szCs w:val="24"/>
        </w:rPr>
        <w:t>,000 local businesses.</w:t>
      </w:r>
    </w:p>
    <w:p w:rsidR="005C60AF" w:rsidRPr="004B3938" w:rsidRDefault="005C60AF"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Colleges work hard to minimise the number o</w:t>
      </w:r>
      <w:r w:rsidR="00420625" w:rsidRPr="004B3938">
        <w:rPr>
          <w:rFonts w:ascii="Arial" w:hAnsi="Arial" w:cs="Arial"/>
          <w:sz w:val="24"/>
          <w:szCs w:val="24"/>
        </w:rPr>
        <w:t>f young people who are NEET</w:t>
      </w:r>
      <w:r w:rsidRPr="004B3938">
        <w:rPr>
          <w:rFonts w:ascii="Arial" w:hAnsi="Arial" w:cs="Arial"/>
          <w:sz w:val="24"/>
          <w:szCs w:val="24"/>
        </w:rPr>
        <w:t>.</w:t>
      </w:r>
    </w:p>
    <w:p w:rsidR="005C60AF" w:rsidRPr="004B3938" w:rsidRDefault="005C60AF" w:rsidP="004B3938">
      <w:pPr>
        <w:pStyle w:val="ListParagraph"/>
        <w:numPr>
          <w:ilvl w:val="1"/>
          <w:numId w:val="1"/>
        </w:numPr>
        <w:spacing w:after="0" w:line="240" w:lineRule="auto"/>
        <w:jc w:val="both"/>
        <w:rPr>
          <w:rFonts w:ascii="Arial" w:hAnsi="Arial" w:cs="Arial"/>
          <w:sz w:val="24"/>
          <w:szCs w:val="24"/>
        </w:rPr>
      </w:pPr>
      <w:r w:rsidRPr="004B3938">
        <w:rPr>
          <w:rFonts w:ascii="Arial" w:hAnsi="Arial" w:cs="Arial"/>
          <w:sz w:val="24"/>
          <w:szCs w:val="24"/>
        </w:rPr>
        <w:t>Colleges are finding that Apprenticeships are an increasingly popular bridge between education and the world of work.</w:t>
      </w:r>
    </w:p>
    <w:p w:rsidR="00C62869" w:rsidRPr="004B3938" w:rsidRDefault="005C60AF" w:rsidP="004B3938">
      <w:pPr>
        <w:pStyle w:val="ListParagraph"/>
        <w:numPr>
          <w:ilvl w:val="1"/>
          <w:numId w:val="1"/>
        </w:numPr>
        <w:spacing w:after="0" w:line="240" w:lineRule="auto"/>
        <w:ind w:left="851" w:hanging="491"/>
        <w:jc w:val="both"/>
        <w:rPr>
          <w:rFonts w:ascii="Arial" w:hAnsi="Arial" w:cs="Arial"/>
          <w:sz w:val="24"/>
          <w:szCs w:val="24"/>
        </w:rPr>
      </w:pPr>
      <w:r w:rsidRPr="004B3938">
        <w:rPr>
          <w:rFonts w:ascii="Arial" w:hAnsi="Arial" w:cs="Arial"/>
          <w:sz w:val="24"/>
          <w:szCs w:val="24"/>
        </w:rPr>
        <w:t>Th</w:t>
      </w:r>
      <w:r w:rsidR="00F90D1F" w:rsidRPr="004B3938">
        <w:rPr>
          <w:rFonts w:ascii="Arial" w:hAnsi="Arial" w:cs="Arial"/>
          <w:sz w:val="24"/>
          <w:szCs w:val="24"/>
        </w:rPr>
        <w:t>e Lancashire</w:t>
      </w:r>
      <w:r w:rsidRPr="004B3938">
        <w:rPr>
          <w:rFonts w:ascii="Arial" w:hAnsi="Arial" w:cs="Arial"/>
          <w:sz w:val="24"/>
          <w:szCs w:val="24"/>
        </w:rPr>
        <w:t xml:space="preserve"> Colleges commissioned a study of local labour markets and found:-</w:t>
      </w:r>
    </w:p>
    <w:p w:rsidR="00F90D1F" w:rsidRPr="004B3938" w:rsidRDefault="009D4006" w:rsidP="004B3938">
      <w:pPr>
        <w:pStyle w:val="ListParagraph"/>
        <w:numPr>
          <w:ilvl w:val="0"/>
          <w:numId w:val="3"/>
        </w:numPr>
        <w:spacing w:after="0" w:line="240" w:lineRule="auto"/>
        <w:jc w:val="both"/>
        <w:rPr>
          <w:rFonts w:ascii="Arial" w:hAnsi="Arial" w:cs="Arial"/>
          <w:sz w:val="24"/>
          <w:szCs w:val="24"/>
        </w:rPr>
      </w:pPr>
      <w:r w:rsidRPr="004B3938">
        <w:rPr>
          <w:rFonts w:ascii="Arial" w:hAnsi="Arial" w:cs="Arial"/>
          <w:sz w:val="24"/>
          <w:szCs w:val="24"/>
        </w:rPr>
        <w:t>Local FE colleges contribute over</w:t>
      </w:r>
      <w:r w:rsidR="00420625" w:rsidRPr="004B3938">
        <w:rPr>
          <w:rFonts w:ascii="Arial" w:hAnsi="Arial" w:cs="Arial"/>
          <w:sz w:val="24"/>
          <w:szCs w:val="24"/>
        </w:rPr>
        <w:t xml:space="preserve"> </w:t>
      </w:r>
      <w:r w:rsidRPr="004B3938">
        <w:rPr>
          <w:rFonts w:ascii="Arial" w:hAnsi="Arial" w:cs="Arial"/>
          <w:sz w:val="24"/>
          <w:szCs w:val="24"/>
        </w:rPr>
        <w:t xml:space="preserve">£275m pa to the gross value added of our local economy and the </w:t>
      </w:r>
      <w:r w:rsidR="006845F4" w:rsidRPr="004B3938">
        <w:rPr>
          <w:rFonts w:ascii="Arial" w:hAnsi="Arial" w:cs="Arial"/>
          <w:sz w:val="24"/>
          <w:szCs w:val="24"/>
        </w:rPr>
        <w:t xml:space="preserve">annual </w:t>
      </w:r>
      <w:r w:rsidRPr="004B3938">
        <w:rPr>
          <w:rFonts w:ascii="Arial" w:hAnsi="Arial" w:cs="Arial"/>
          <w:sz w:val="24"/>
          <w:szCs w:val="24"/>
        </w:rPr>
        <w:t>lifetime value of the qualifications gained by students is £1.5bn</w:t>
      </w:r>
      <w:r w:rsidR="00B33F95" w:rsidRPr="004B3938">
        <w:rPr>
          <w:rFonts w:ascii="Arial" w:hAnsi="Arial" w:cs="Arial"/>
          <w:sz w:val="24"/>
          <w:szCs w:val="24"/>
        </w:rPr>
        <w:t>.</w:t>
      </w:r>
    </w:p>
    <w:p w:rsidR="00965F1D" w:rsidRPr="004B3938" w:rsidRDefault="00DD55B3" w:rsidP="004B3938">
      <w:pPr>
        <w:pStyle w:val="ListParagraph"/>
        <w:numPr>
          <w:ilvl w:val="0"/>
          <w:numId w:val="3"/>
        </w:numPr>
        <w:spacing w:after="0" w:line="240" w:lineRule="auto"/>
        <w:jc w:val="both"/>
        <w:rPr>
          <w:rFonts w:ascii="Arial" w:hAnsi="Arial" w:cs="Arial"/>
          <w:sz w:val="24"/>
          <w:szCs w:val="24"/>
        </w:rPr>
      </w:pPr>
      <w:r w:rsidRPr="004B3938">
        <w:rPr>
          <w:rFonts w:ascii="Arial" w:hAnsi="Arial" w:cs="Arial"/>
          <w:sz w:val="24"/>
          <w:szCs w:val="24"/>
        </w:rPr>
        <w:t xml:space="preserve">The number of enrolments onto HE courses in FE across Lancs is the joint highest of any of the 39 LEP areas across England. Lancs </w:t>
      </w:r>
      <w:r w:rsidR="00EC4833" w:rsidRPr="004B3938">
        <w:rPr>
          <w:rFonts w:ascii="Arial" w:hAnsi="Arial" w:cs="Arial"/>
          <w:sz w:val="24"/>
          <w:szCs w:val="24"/>
        </w:rPr>
        <w:t>is joint highest with London which has six times the population. For STEM courses (science, technology, engineering &amp; maths) Lancs is number one in</w:t>
      </w:r>
      <w:r w:rsidR="00965F1D" w:rsidRPr="004B3938">
        <w:rPr>
          <w:rFonts w:ascii="Arial" w:hAnsi="Arial" w:cs="Arial"/>
          <w:sz w:val="24"/>
          <w:szCs w:val="24"/>
        </w:rPr>
        <w:t xml:space="preserve"> England leaving London far behi</w:t>
      </w:r>
      <w:r w:rsidR="00EC4833" w:rsidRPr="004B3938">
        <w:rPr>
          <w:rFonts w:ascii="Arial" w:hAnsi="Arial" w:cs="Arial"/>
          <w:sz w:val="24"/>
          <w:szCs w:val="24"/>
        </w:rPr>
        <w:t>nd.</w:t>
      </w:r>
    </w:p>
    <w:p w:rsidR="003F366D" w:rsidRPr="004B3938" w:rsidRDefault="00965F1D" w:rsidP="004B3938">
      <w:pPr>
        <w:pStyle w:val="ListParagraph"/>
        <w:numPr>
          <w:ilvl w:val="1"/>
          <w:numId w:val="1"/>
        </w:numPr>
        <w:spacing w:after="0" w:line="240" w:lineRule="auto"/>
        <w:ind w:left="851" w:hanging="491"/>
        <w:jc w:val="both"/>
        <w:rPr>
          <w:rFonts w:ascii="Arial" w:hAnsi="Arial" w:cs="Arial"/>
          <w:sz w:val="24"/>
          <w:szCs w:val="24"/>
        </w:rPr>
      </w:pPr>
      <w:r w:rsidRPr="004B3938">
        <w:rPr>
          <w:rFonts w:ascii="Arial" w:hAnsi="Arial" w:cs="Arial"/>
          <w:sz w:val="24"/>
          <w:szCs w:val="24"/>
        </w:rPr>
        <w:lastRenderedPageBreak/>
        <w:t xml:space="preserve">We work closely with the local LEP and its Skills Board to ensure that the courses we provide are meeting the needs of local employers.  </w:t>
      </w:r>
    </w:p>
    <w:p w:rsidR="00BC30A8" w:rsidRPr="004B3938" w:rsidRDefault="00BC30A8" w:rsidP="004B3938">
      <w:pPr>
        <w:spacing w:after="0" w:line="240" w:lineRule="auto"/>
        <w:jc w:val="both"/>
        <w:rPr>
          <w:rFonts w:ascii="Arial" w:hAnsi="Arial" w:cs="Arial"/>
          <w:sz w:val="24"/>
          <w:szCs w:val="24"/>
        </w:rPr>
      </w:pPr>
    </w:p>
    <w:p w:rsidR="003666D9" w:rsidRDefault="006104D9" w:rsidP="004B3938">
      <w:pPr>
        <w:spacing w:after="0" w:line="240" w:lineRule="auto"/>
        <w:jc w:val="both"/>
        <w:rPr>
          <w:rFonts w:ascii="Arial" w:hAnsi="Arial" w:cs="Arial"/>
          <w:sz w:val="24"/>
          <w:szCs w:val="24"/>
        </w:rPr>
      </w:pPr>
      <w:r w:rsidRPr="004B3938">
        <w:rPr>
          <w:rFonts w:ascii="Arial" w:hAnsi="Arial" w:cs="Arial"/>
          <w:sz w:val="24"/>
          <w:szCs w:val="24"/>
        </w:rPr>
        <w:t xml:space="preserve">I hope this has given you a flavour of the </w:t>
      </w:r>
      <w:r w:rsidR="00297A70" w:rsidRPr="004B3938">
        <w:rPr>
          <w:rFonts w:ascii="Arial" w:hAnsi="Arial" w:cs="Arial"/>
          <w:sz w:val="24"/>
          <w:szCs w:val="24"/>
        </w:rPr>
        <w:t xml:space="preserve">breadth of activity of the </w:t>
      </w:r>
      <w:r w:rsidRPr="004B3938">
        <w:rPr>
          <w:rFonts w:ascii="Arial" w:hAnsi="Arial" w:cs="Arial"/>
          <w:sz w:val="24"/>
          <w:szCs w:val="24"/>
        </w:rPr>
        <w:t xml:space="preserve">Further Education sector in Lancs. </w:t>
      </w:r>
      <w:r w:rsidR="005539C8">
        <w:rPr>
          <w:rFonts w:ascii="Arial" w:hAnsi="Arial" w:cs="Arial"/>
          <w:sz w:val="24"/>
          <w:szCs w:val="24"/>
        </w:rPr>
        <w:t xml:space="preserve"> </w:t>
      </w:r>
      <w:r w:rsidRPr="004B3938">
        <w:rPr>
          <w:rFonts w:ascii="Arial" w:hAnsi="Arial" w:cs="Arial"/>
          <w:sz w:val="24"/>
          <w:szCs w:val="24"/>
        </w:rPr>
        <w:t xml:space="preserve">I am now happy to </w:t>
      </w:r>
      <w:r w:rsidR="00F24AF3" w:rsidRPr="004B3938">
        <w:rPr>
          <w:rFonts w:ascii="Arial" w:hAnsi="Arial" w:cs="Arial"/>
          <w:sz w:val="24"/>
          <w:szCs w:val="24"/>
        </w:rPr>
        <w:t xml:space="preserve">try to </w:t>
      </w:r>
      <w:r w:rsidRPr="004B3938">
        <w:rPr>
          <w:rFonts w:ascii="Arial" w:hAnsi="Arial" w:cs="Arial"/>
          <w:sz w:val="24"/>
          <w:szCs w:val="24"/>
        </w:rPr>
        <w:t>answer your questions.</w:t>
      </w:r>
    </w:p>
    <w:p w:rsidR="004B3938" w:rsidRPr="004B3938" w:rsidRDefault="004B3938" w:rsidP="004B3938">
      <w:pPr>
        <w:spacing w:after="0" w:line="240" w:lineRule="auto"/>
        <w:jc w:val="both"/>
        <w:rPr>
          <w:rFonts w:ascii="Arial" w:hAnsi="Arial" w:cs="Arial"/>
          <w:sz w:val="24"/>
          <w:szCs w:val="24"/>
        </w:rPr>
      </w:pPr>
    </w:p>
    <w:p w:rsidR="003F366D" w:rsidRPr="004B3938" w:rsidRDefault="006104D9" w:rsidP="004B3938">
      <w:pPr>
        <w:pStyle w:val="NoSpacing"/>
        <w:jc w:val="both"/>
        <w:rPr>
          <w:rFonts w:ascii="Arial" w:hAnsi="Arial" w:cs="Arial"/>
          <w:b/>
          <w:sz w:val="24"/>
          <w:szCs w:val="24"/>
        </w:rPr>
      </w:pPr>
      <w:r w:rsidRPr="004B3938">
        <w:rPr>
          <w:rFonts w:ascii="Arial" w:hAnsi="Arial" w:cs="Arial"/>
          <w:b/>
          <w:sz w:val="24"/>
          <w:szCs w:val="24"/>
        </w:rPr>
        <w:t>David Wood</w:t>
      </w:r>
    </w:p>
    <w:p w:rsidR="006104D9" w:rsidRPr="004B3938" w:rsidRDefault="006104D9" w:rsidP="004B3938">
      <w:pPr>
        <w:pStyle w:val="NoSpacing"/>
        <w:jc w:val="both"/>
        <w:rPr>
          <w:rFonts w:ascii="Arial" w:hAnsi="Arial" w:cs="Arial"/>
          <w:b/>
          <w:sz w:val="24"/>
          <w:szCs w:val="24"/>
        </w:rPr>
      </w:pPr>
      <w:r w:rsidRPr="004B3938">
        <w:rPr>
          <w:rFonts w:ascii="Arial" w:hAnsi="Arial" w:cs="Arial"/>
          <w:b/>
          <w:sz w:val="24"/>
          <w:szCs w:val="24"/>
        </w:rPr>
        <w:t>Principal</w:t>
      </w:r>
      <w:r w:rsidR="000B45D3" w:rsidRPr="004B3938">
        <w:rPr>
          <w:rFonts w:ascii="Arial" w:hAnsi="Arial" w:cs="Arial"/>
          <w:b/>
          <w:sz w:val="24"/>
          <w:szCs w:val="24"/>
        </w:rPr>
        <w:t>, Lancaster &amp; Morecambe College</w:t>
      </w:r>
      <w:r w:rsidR="00BC30A8" w:rsidRPr="004B3938">
        <w:rPr>
          <w:rFonts w:ascii="Arial" w:hAnsi="Arial" w:cs="Arial"/>
          <w:b/>
          <w:sz w:val="24"/>
          <w:szCs w:val="24"/>
        </w:rPr>
        <w:t xml:space="preserve"> </w:t>
      </w:r>
      <w:r w:rsidRPr="004B3938">
        <w:rPr>
          <w:rFonts w:ascii="Arial" w:hAnsi="Arial" w:cs="Arial"/>
          <w:b/>
          <w:sz w:val="24"/>
          <w:szCs w:val="24"/>
        </w:rPr>
        <w:t xml:space="preserve">Chair, </w:t>
      </w:r>
      <w:proofErr w:type="gramStart"/>
      <w:r w:rsidRPr="004B3938">
        <w:rPr>
          <w:rFonts w:ascii="Arial" w:hAnsi="Arial" w:cs="Arial"/>
          <w:b/>
          <w:sz w:val="24"/>
          <w:szCs w:val="24"/>
        </w:rPr>
        <w:t>The</w:t>
      </w:r>
      <w:proofErr w:type="gramEnd"/>
      <w:r w:rsidRPr="004B3938">
        <w:rPr>
          <w:rFonts w:ascii="Arial" w:hAnsi="Arial" w:cs="Arial"/>
          <w:b/>
          <w:sz w:val="24"/>
          <w:szCs w:val="24"/>
        </w:rPr>
        <w:t xml:space="preserve"> Lancashire Colleges</w:t>
      </w:r>
    </w:p>
    <w:sectPr w:rsidR="006104D9" w:rsidRPr="004B3938" w:rsidSect="00F73B2D">
      <w:headerReference w:type="even" r:id="rId7"/>
      <w:headerReference w:type="default" r:id="rId8"/>
      <w:footerReference w:type="even" r:id="rId9"/>
      <w:footerReference w:type="default" r:id="rId10"/>
      <w:headerReference w:type="first" r:id="rId11"/>
      <w:footerReference w:type="first" r:id="rId12"/>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2D" w:rsidRDefault="00F73B2D" w:rsidP="00F73B2D">
      <w:pPr>
        <w:spacing w:after="0" w:line="240" w:lineRule="auto"/>
      </w:pPr>
      <w:r>
        <w:separator/>
      </w:r>
    </w:p>
  </w:endnote>
  <w:endnote w:type="continuationSeparator" w:id="0">
    <w:p w:rsidR="00F73B2D" w:rsidRDefault="00F73B2D" w:rsidP="00F7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D" w:rsidRDefault="00F73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D" w:rsidRDefault="00F73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D" w:rsidRDefault="00F73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2D" w:rsidRDefault="00F73B2D" w:rsidP="00F73B2D">
      <w:pPr>
        <w:spacing w:after="0" w:line="240" w:lineRule="auto"/>
      </w:pPr>
      <w:r>
        <w:separator/>
      </w:r>
    </w:p>
  </w:footnote>
  <w:footnote w:type="continuationSeparator" w:id="0">
    <w:p w:rsidR="00F73B2D" w:rsidRDefault="00F73B2D" w:rsidP="00F7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D" w:rsidRDefault="00F73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D" w:rsidRPr="00F73B2D" w:rsidRDefault="00F73B2D" w:rsidP="00F73B2D">
    <w:pPr>
      <w:pStyle w:val="Header"/>
      <w:jc w:val="right"/>
      <w:rPr>
        <w:rFonts w:ascii="Arial" w:hAnsi="Arial" w:cs="Arial"/>
        <w:b/>
      </w:rPr>
    </w:pPr>
    <w:r>
      <w:rPr>
        <w:rFonts w:ascii="Arial" w:hAnsi="Arial" w:cs="Arial"/>
        <w:b/>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D" w:rsidRDefault="00F73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D2061"/>
    <w:multiLevelType w:val="multilevel"/>
    <w:tmpl w:val="40707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CCC65CF"/>
    <w:multiLevelType w:val="hybridMultilevel"/>
    <w:tmpl w:val="E2A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E563A"/>
    <w:multiLevelType w:val="hybridMultilevel"/>
    <w:tmpl w:val="54523C4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E5"/>
    <w:rsid w:val="00030274"/>
    <w:rsid w:val="000B282E"/>
    <w:rsid w:val="000B45D3"/>
    <w:rsid w:val="000F0028"/>
    <w:rsid w:val="001A3805"/>
    <w:rsid w:val="00297A70"/>
    <w:rsid w:val="002F46D7"/>
    <w:rsid w:val="0031358C"/>
    <w:rsid w:val="00314551"/>
    <w:rsid w:val="00345937"/>
    <w:rsid w:val="0035423E"/>
    <w:rsid w:val="00357CE5"/>
    <w:rsid w:val="003666D9"/>
    <w:rsid w:val="003F366D"/>
    <w:rsid w:val="004016EB"/>
    <w:rsid w:val="00420625"/>
    <w:rsid w:val="00423461"/>
    <w:rsid w:val="004648B7"/>
    <w:rsid w:val="00465E03"/>
    <w:rsid w:val="00473296"/>
    <w:rsid w:val="00484FE5"/>
    <w:rsid w:val="004B0654"/>
    <w:rsid w:val="004B3938"/>
    <w:rsid w:val="004E58E4"/>
    <w:rsid w:val="00503128"/>
    <w:rsid w:val="00546C09"/>
    <w:rsid w:val="00551EE0"/>
    <w:rsid w:val="00552380"/>
    <w:rsid w:val="005539C8"/>
    <w:rsid w:val="00580A03"/>
    <w:rsid w:val="00582046"/>
    <w:rsid w:val="005A4F9C"/>
    <w:rsid w:val="005C60AF"/>
    <w:rsid w:val="005F02F5"/>
    <w:rsid w:val="006104D9"/>
    <w:rsid w:val="00636ACB"/>
    <w:rsid w:val="006810B0"/>
    <w:rsid w:val="006845F4"/>
    <w:rsid w:val="006A4290"/>
    <w:rsid w:val="0072762E"/>
    <w:rsid w:val="007518D9"/>
    <w:rsid w:val="00775CF3"/>
    <w:rsid w:val="007C147B"/>
    <w:rsid w:val="007F5F73"/>
    <w:rsid w:val="00813937"/>
    <w:rsid w:val="008336E5"/>
    <w:rsid w:val="0086375E"/>
    <w:rsid w:val="00887137"/>
    <w:rsid w:val="0089417B"/>
    <w:rsid w:val="008A4141"/>
    <w:rsid w:val="008F342C"/>
    <w:rsid w:val="009652D5"/>
    <w:rsid w:val="00965F1D"/>
    <w:rsid w:val="009D02A1"/>
    <w:rsid w:val="009D4006"/>
    <w:rsid w:val="009D5EA3"/>
    <w:rsid w:val="009D62DB"/>
    <w:rsid w:val="00A61173"/>
    <w:rsid w:val="00AE3536"/>
    <w:rsid w:val="00B006BD"/>
    <w:rsid w:val="00B01F85"/>
    <w:rsid w:val="00B07F7F"/>
    <w:rsid w:val="00B22A66"/>
    <w:rsid w:val="00B33F95"/>
    <w:rsid w:val="00B94E66"/>
    <w:rsid w:val="00BC30A8"/>
    <w:rsid w:val="00BD7818"/>
    <w:rsid w:val="00C215EE"/>
    <w:rsid w:val="00C30AE3"/>
    <w:rsid w:val="00C31A60"/>
    <w:rsid w:val="00C62869"/>
    <w:rsid w:val="00C71A1E"/>
    <w:rsid w:val="00CA16AF"/>
    <w:rsid w:val="00CE2EC0"/>
    <w:rsid w:val="00D67BD3"/>
    <w:rsid w:val="00D77EF8"/>
    <w:rsid w:val="00D96A34"/>
    <w:rsid w:val="00DD55B3"/>
    <w:rsid w:val="00DF51EA"/>
    <w:rsid w:val="00E6641A"/>
    <w:rsid w:val="00E779F4"/>
    <w:rsid w:val="00E820E4"/>
    <w:rsid w:val="00E840C7"/>
    <w:rsid w:val="00EA1643"/>
    <w:rsid w:val="00EC4833"/>
    <w:rsid w:val="00EC6352"/>
    <w:rsid w:val="00F05B40"/>
    <w:rsid w:val="00F158CD"/>
    <w:rsid w:val="00F24AF3"/>
    <w:rsid w:val="00F55E76"/>
    <w:rsid w:val="00F73B2D"/>
    <w:rsid w:val="00F7604D"/>
    <w:rsid w:val="00F90D1F"/>
    <w:rsid w:val="00F97119"/>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445BD-7B1F-4389-8A68-4C5F0FF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E5"/>
    <w:pPr>
      <w:ind w:left="720"/>
      <w:contextualSpacing/>
    </w:pPr>
  </w:style>
  <w:style w:type="table" w:styleId="TableGrid">
    <w:name w:val="Table Grid"/>
    <w:basedOn w:val="TableNormal"/>
    <w:uiPriority w:val="39"/>
    <w:rsid w:val="00AE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04D9"/>
    <w:pPr>
      <w:spacing w:after="0" w:line="240" w:lineRule="auto"/>
    </w:pPr>
  </w:style>
  <w:style w:type="paragraph" w:styleId="BalloonText">
    <w:name w:val="Balloon Text"/>
    <w:basedOn w:val="Normal"/>
    <w:link w:val="BalloonTextChar"/>
    <w:uiPriority w:val="99"/>
    <w:semiHidden/>
    <w:unhideWhenUsed/>
    <w:rsid w:val="00965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D5"/>
    <w:rPr>
      <w:rFonts w:ascii="Segoe UI" w:hAnsi="Segoe UI" w:cs="Segoe UI"/>
      <w:sz w:val="18"/>
      <w:szCs w:val="18"/>
    </w:rPr>
  </w:style>
  <w:style w:type="paragraph" w:styleId="Header">
    <w:name w:val="header"/>
    <w:basedOn w:val="Normal"/>
    <w:link w:val="HeaderChar"/>
    <w:uiPriority w:val="99"/>
    <w:unhideWhenUsed/>
    <w:rsid w:val="00F7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2D"/>
  </w:style>
  <w:style w:type="paragraph" w:styleId="Footer">
    <w:name w:val="footer"/>
    <w:basedOn w:val="Normal"/>
    <w:link w:val="FooterChar"/>
    <w:uiPriority w:val="99"/>
    <w:unhideWhenUsed/>
    <w:rsid w:val="00F7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Preston's College</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PALMER</dc:creator>
  <cp:keywords/>
  <dc:description/>
  <cp:lastModifiedBy>Mulligan, Janet</cp:lastModifiedBy>
  <cp:revision>5</cp:revision>
  <cp:lastPrinted>2015-07-06T13:17:00Z</cp:lastPrinted>
  <dcterms:created xsi:type="dcterms:W3CDTF">2015-07-08T15:42:00Z</dcterms:created>
  <dcterms:modified xsi:type="dcterms:W3CDTF">2015-07-13T10:42:00Z</dcterms:modified>
</cp:coreProperties>
</file>